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B73" w:rsidRDefault="00A45106" w:rsidP="00DC2B73">
      <w:pPr>
        <w:pStyle w:val="Footer"/>
        <w:widowControl w:val="0"/>
        <w:spacing w:line="360" w:lineRule="auto"/>
      </w:pPr>
      <w:r w:rsidRPr="00A4510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margin-left:-17pt;margin-top:82.6pt;width:376.65pt;height:66.65pt;z-index:5;mso-position-horizontal-relative:text;mso-position-vertical-relative:text">
            <v:imagedata r:id="rId9" o:title=""/>
          </v:shape>
        </w:pict>
      </w:r>
      <w:r w:rsidR="00C16F02">
        <w:rPr>
          <w:lang w:bidi="x-none"/>
        </w:rPr>
        <w:pict>
          <v:shapetype id="_x0000_t202" coordsize="21600,21600" o:spt="202" path="m,l,21600r21600,l21600,xe">
            <v:stroke joinstyle="miter"/>
            <v:path gradientshapeok="t" o:connecttype="rect"/>
          </v:shapetype>
          <v:shape id="_x0000_s1057" type="#_x0000_t202" style="position:absolute;margin-left:-17pt;margin-top:290.25pt;width:468.5pt;height:258.75pt;z-index:1" filled="f" stroked="f">
            <v:textbox style="mso-next-textbox:#_x0000_s1057">
              <w:txbxContent>
                <w:p w:rsidR="00C16F02" w:rsidRPr="00800977" w:rsidRDefault="00C16F02" w:rsidP="00427EB5">
                  <w:pPr>
                    <w:pStyle w:val="BodyText"/>
                    <w:jc w:val="left"/>
                    <w:rPr>
                      <w:rFonts w:ascii="Georgia" w:hAnsi="Georgia"/>
                      <w:b w:val="0"/>
                      <w:bCs w:val="0"/>
                      <w:iCs/>
                      <w:color w:val="FFFFFF"/>
                      <w:sz w:val="68"/>
                      <w:szCs w:val="72"/>
                    </w:rPr>
                  </w:pPr>
                  <w:r>
                    <w:rPr>
                      <w:rFonts w:ascii="Georgia" w:hAnsi="Georgia"/>
                      <w:b w:val="0"/>
                      <w:bCs w:val="0"/>
                      <w:iCs/>
                      <w:color w:val="FFFFFF"/>
                      <w:sz w:val="68"/>
                      <w:szCs w:val="72"/>
                    </w:rPr>
                    <w:t>Looking Into</w:t>
                  </w:r>
                  <w:r w:rsidRPr="00800977">
                    <w:rPr>
                      <w:rFonts w:ascii="Georgia" w:hAnsi="Georgia"/>
                      <w:b w:val="0"/>
                      <w:bCs w:val="0"/>
                      <w:iCs/>
                      <w:color w:val="FFFFFF"/>
                      <w:sz w:val="68"/>
                      <w:szCs w:val="72"/>
                    </w:rPr>
                    <w:t xml:space="preserve"> Poverty:</w:t>
                  </w:r>
                </w:p>
                <w:p w:rsidR="00C16F02" w:rsidRDefault="00C16F02" w:rsidP="00427EB5">
                  <w:pPr>
                    <w:pStyle w:val="BodyText"/>
                    <w:jc w:val="left"/>
                    <w:rPr>
                      <w:rFonts w:ascii="Georgia" w:hAnsi="Georgia"/>
                      <w:b w:val="0"/>
                      <w:bCs w:val="0"/>
                      <w:iCs/>
                      <w:color w:val="FFFFFF"/>
                      <w:sz w:val="68"/>
                      <w:szCs w:val="72"/>
                    </w:rPr>
                  </w:pPr>
                  <w:r>
                    <w:rPr>
                      <w:rFonts w:ascii="Georgia" w:hAnsi="Georgia"/>
                      <w:b w:val="0"/>
                      <w:bCs w:val="0"/>
                      <w:iCs/>
                      <w:color w:val="FFFFFF"/>
                      <w:sz w:val="68"/>
                      <w:szCs w:val="72"/>
                    </w:rPr>
                    <w:t xml:space="preserve">Income Sources of </w:t>
                  </w:r>
                </w:p>
                <w:p w:rsidR="00C16F02" w:rsidRDefault="00C16F02" w:rsidP="00427EB5">
                  <w:pPr>
                    <w:pStyle w:val="BodyText"/>
                    <w:jc w:val="left"/>
                    <w:rPr>
                      <w:rFonts w:ascii="Georgia" w:hAnsi="Georgia"/>
                      <w:b w:val="0"/>
                      <w:bCs w:val="0"/>
                      <w:iCs/>
                      <w:color w:val="FFFFFF"/>
                      <w:sz w:val="68"/>
                      <w:szCs w:val="72"/>
                    </w:rPr>
                  </w:pPr>
                  <w:r>
                    <w:rPr>
                      <w:rFonts w:ascii="Georgia" w:hAnsi="Georgia"/>
                      <w:b w:val="0"/>
                      <w:bCs w:val="0"/>
                      <w:iCs/>
                      <w:color w:val="FFFFFF"/>
                      <w:sz w:val="68"/>
                      <w:szCs w:val="72"/>
                    </w:rPr>
                    <w:t xml:space="preserve">Poor People with Disabilities </w:t>
                  </w:r>
                </w:p>
                <w:p w:rsidR="00C16F02" w:rsidRPr="00800977" w:rsidRDefault="00C16F02" w:rsidP="00427EB5">
                  <w:pPr>
                    <w:pStyle w:val="BodyText"/>
                    <w:jc w:val="left"/>
                    <w:rPr>
                      <w:rFonts w:ascii="Georgia" w:hAnsi="Georgia"/>
                      <w:b w:val="0"/>
                      <w:bCs w:val="0"/>
                      <w:iCs/>
                      <w:color w:val="FFFFFF"/>
                      <w:sz w:val="68"/>
                      <w:szCs w:val="72"/>
                    </w:rPr>
                  </w:pPr>
                  <w:proofErr w:type="gramStart"/>
                  <w:r>
                    <w:rPr>
                      <w:rFonts w:ascii="Georgia" w:hAnsi="Georgia"/>
                      <w:b w:val="0"/>
                      <w:bCs w:val="0"/>
                      <w:iCs/>
                      <w:color w:val="FFFFFF"/>
                      <w:sz w:val="68"/>
                      <w:szCs w:val="72"/>
                    </w:rPr>
                    <w:t>in</w:t>
                  </w:r>
                  <w:proofErr w:type="gramEnd"/>
                  <w:r>
                    <w:rPr>
                      <w:rFonts w:ascii="Georgia" w:hAnsi="Georgia"/>
                      <w:b w:val="0"/>
                      <w:bCs w:val="0"/>
                      <w:iCs/>
                      <w:color w:val="FFFFFF"/>
                      <w:sz w:val="68"/>
                      <w:szCs w:val="72"/>
                    </w:rPr>
                    <w:t xml:space="preserve"> Canada </w:t>
                  </w:r>
                </w:p>
                <w:p w:rsidR="00C16F02" w:rsidRPr="00427EB5" w:rsidRDefault="00C16F02" w:rsidP="00DC2B73">
                  <w:pPr>
                    <w:pStyle w:val="BodyText"/>
                    <w:rPr>
                      <w:rFonts w:ascii="Georgia" w:hAnsi="Georgia"/>
                      <w:b w:val="0"/>
                      <w:bCs w:val="0"/>
                      <w:i/>
                      <w:iCs/>
                      <w:color w:val="FFFFFF"/>
                      <w:sz w:val="64"/>
                    </w:rPr>
                  </w:pPr>
                </w:p>
                <w:p w:rsidR="00C16F02" w:rsidRPr="00800977" w:rsidRDefault="00C16F02" w:rsidP="00427EB5">
                  <w:pPr>
                    <w:pStyle w:val="BodyText"/>
                    <w:jc w:val="left"/>
                    <w:rPr>
                      <w:rFonts w:ascii="Georgia" w:hAnsi="Georgia"/>
                      <w:b w:val="0"/>
                      <w:i/>
                      <w:iCs/>
                      <w:color w:val="FFFFFF"/>
                      <w:sz w:val="32"/>
                      <w:szCs w:val="32"/>
                    </w:rPr>
                  </w:pPr>
                  <w:r w:rsidRPr="00800977">
                    <w:rPr>
                      <w:rFonts w:ascii="Georgia" w:hAnsi="Georgia"/>
                      <w:b w:val="0"/>
                      <w:i/>
                      <w:iCs/>
                      <w:color w:val="FFFFFF"/>
                      <w:sz w:val="32"/>
                      <w:szCs w:val="32"/>
                    </w:rPr>
                    <w:t>Researched and written by</w:t>
                  </w:r>
                </w:p>
                <w:p w:rsidR="00C16F02" w:rsidRPr="00800977" w:rsidRDefault="00C16F02" w:rsidP="00427EB5">
                  <w:pPr>
                    <w:pStyle w:val="BodyText"/>
                    <w:jc w:val="left"/>
                    <w:rPr>
                      <w:rFonts w:ascii="Georgia" w:hAnsi="Georgia"/>
                      <w:b w:val="0"/>
                      <w:bCs w:val="0"/>
                      <w:i/>
                      <w:iCs/>
                      <w:color w:val="FFFFFF"/>
                      <w:sz w:val="32"/>
                      <w:szCs w:val="32"/>
                    </w:rPr>
                  </w:pPr>
                  <w:r w:rsidRPr="00800977">
                    <w:rPr>
                      <w:rFonts w:ascii="Georgia" w:hAnsi="Georgia"/>
                      <w:b w:val="0"/>
                      <w:bCs w:val="0"/>
                      <w:i/>
                      <w:iCs/>
                      <w:color w:val="FFFFFF"/>
                      <w:sz w:val="32"/>
                      <w:szCs w:val="32"/>
                    </w:rPr>
                    <w:t>Cameron Crawford</w:t>
                  </w:r>
                </w:p>
                <w:p w:rsidR="00C16F02" w:rsidRPr="00800977" w:rsidRDefault="00C16F02" w:rsidP="00427EB5">
                  <w:pPr>
                    <w:pStyle w:val="BodyText"/>
                    <w:jc w:val="left"/>
                    <w:rPr>
                      <w:rFonts w:ascii="Georgia" w:hAnsi="Georgia"/>
                      <w:b w:val="0"/>
                      <w:i/>
                      <w:iCs/>
                      <w:color w:val="FFFFFF"/>
                      <w:sz w:val="32"/>
                      <w:szCs w:val="32"/>
                    </w:rPr>
                  </w:pPr>
                  <w:r w:rsidRPr="00800977">
                    <w:rPr>
                      <w:rFonts w:ascii="Georgia" w:hAnsi="Georgia"/>
                      <w:b w:val="0"/>
                      <w:i/>
                      <w:iCs/>
                      <w:color w:val="FFFFFF"/>
                      <w:sz w:val="32"/>
                      <w:szCs w:val="32"/>
                    </w:rPr>
                    <w:t>Director of Research, IRIS</w:t>
                  </w:r>
                </w:p>
                <w:p w:rsidR="00C16F02" w:rsidRDefault="00C16F02" w:rsidP="00DC2B73">
                  <w:pPr>
                    <w:pStyle w:val="BodyText"/>
                    <w:rPr>
                      <w:rFonts w:ascii="Adelon-Light" w:hAnsi="Adelon-Light"/>
                      <w:b w:val="0"/>
                      <w:i/>
                      <w:iCs/>
                      <w:color w:val="FFFFFF"/>
                      <w:sz w:val="32"/>
                    </w:rPr>
                  </w:pPr>
                </w:p>
                <w:p w:rsidR="00C16F02" w:rsidRDefault="00C16F02" w:rsidP="00DC2B73">
                  <w:pPr>
                    <w:pStyle w:val="BodyText"/>
                    <w:rPr>
                      <w:rFonts w:ascii="Adelon-Light" w:hAnsi="Adelon-Light"/>
                      <w:bCs w:val="0"/>
                      <w:i/>
                      <w:iCs/>
                      <w:color w:val="FFFFFF"/>
                      <w:sz w:val="32"/>
                    </w:rPr>
                  </w:pPr>
                </w:p>
                <w:p w:rsidR="00C16F02" w:rsidRDefault="00C16F02" w:rsidP="00DC2B73">
                  <w:pPr>
                    <w:pStyle w:val="BodyText"/>
                    <w:rPr>
                      <w:rFonts w:ascii="Adelon-Light" w:hAnsi="Adelon-Light"/>
                      <w:b w:val="0"/>
                      <w:i/>
                      <w:iCs/>
                      <w:color w:val="FFFFFF"/>
                      <w:sz w:val="32"/>
                    </w:rPr>
                  </w:pPr>
                </w:p>
                <w:p w:rsidR="00C16F02" w:rsidRDefault="00C16F02" w:rsidP="00DC2B73">
                  <w:pPr>
                    <w:pStyle w:val="BodyText"/>
                    <w:rPr>
                      <w:b w:val="0"/>
                      <w:color w:val="FFFFFF"/>
                    </w:rPr>
                  </w:pPr>
                </w:p>
                <w:p w:rsidR="00C16F02" w:rsidRDefault="00C16F02" w:rsidP="00DC2B73">
                  <w:pPr>
                    <w:pStyle w:val="BodyText"/>
                    <w:rPr>
                      <w:b w:val="0"/>
                      <w:color w:val="FFFFFF"/>
                    </w:rPr>
                  </w:pPr>
                </w:p>
                <w:p w:rsidR="00C16F02" w:rsidRDefault="00C16F02" w:rsidP="00DC2B73">
                  <w:pPr>
                    <w:pStyle w:val="BodyText"/>
                    <w:rPr>
                      <w:b w:val="0"/>
                      <w:color w:val="FFFFFF"/>
                    </w:rPr>
                  </w:pPr>
                </w:p>
              </w:txbxContent>
            </v:textbox>
          </v:shape>
        </w:pict>
      </w:r>
      <w:r w:rsidR="00C16F02">
        <w:rPr>
          <w:noProof/>
          <w:lang w:val="en-US"/>
        </w:rPr>
        <w:pict>
          <v:shape id="_x0000_s1058" type="#_x0000_t75" style="position:absolute;margin-left:-75.75pt;margin-top:-75.25pt;width:623.45pt;height:806.4pt;z-index:-4">
            <v:imagedata r:id="rId10" o:title="IRIS_cover_word"/>
          </v:shape>
        </w:pict>
      </w:r>
    </w:p>
    <w:p w:rsidR="00DC2B73" w:rsidRDefault="00DC2B73">
      <w:pPr>
        <w:sectPr w:rsidR="00DC2B73">
          <w:pgSz w:w="12240" w:h="15840"/>
          <w:pgMar w:top="1440" w:right="1440" w:bottom="1440" w:left="1440" w:header="708" w:footer="708" w:gutter="0"/>
          <w:cols w:space="708"/>
          <w:docGrid w:linePitch="360"/>
        </w:sectPr>
      </w:pPr>
    </w:p>
    <w:p w:rsidR="000C3AB0" w:rsidRDefault="000C3AB0" w:rsidP="00DC2B73">
      <w:pPr>
        <w:jc w:val="center"/>
        <w:rPr>
          <w:rFonts w:cs="Arial"/>
          <w:b/>
          <w:bCs/>
          <w:sz w:val="48"/>
          <w:szCs w:val="48"/>
        </w:rPr>
        <w:sectPr w:rsidR="000C3AB0">
          <w:pgSz w:w="12240" w:h="15840"/>
          <w:pgMar w:top="1440" w:right="1440" w:bottom="1440" w:left="1440" w:header="708" w:footer="708" w:gutter="0"/>
          <w:cols w:space="708"/>
          <w:docGrid w:linePitch="360"/>
        </w:sectPr>
      </w:pPr>
    </w:p>
    <w:p w:rsidR="00DC2B73" w:rsidRDefault="00DC2B73" w:rsidP="00DC2B73">
      <w:pPr>
        <w:jc w:val="center"/>
        <w:rPr>
          <w:rFonts w:cs="Arial"/>
          <w:b/>
          <w:bCs/>
          <w:sz w:val="48"/>
          <w:szCs w:val="48"/>
        </w:rPr>
      </w:pPr>
    </w:p>
    <w:p w:rsidR="00DC2B73" w:rsidRDefault="00DC2B73" w:rsidP="00DC2B73">
      <w:pPr>
        <w:jc w:val="center"/>
        <w:rPr>
          <w:rFonts w:cs="Arial"/>
          <w:b/>
          <w:bCs/>
          <w:sz w:val="48"/>
          <w:szCs w:val="48"/>
        </w:rPr>
      </w:pPr>
    </w:p>
    <w:p w:rsidR="00DC2B73" w:rsidRDefault="00DC2B73" w:rsidP="00DC2B73">
      <w:pPr>
        <w:jc w:val="center"/>
        <w:rPr>
          <w:rFonts w:cs="Arial"/>
          <w:b/>
          <w:bCs/>
          <w:sz w:val="48"/>
          <w:szCs w:val="48"/>
        </w:rPr>
      </w:pPr>
    </w:p>
    <w:p w:rsidR="009C4FAA" w:rsidRDefault="009C4FAA" w:rsidP="00D571E2">
      <w:pPr>
        <w:jc w:val="center"/>
        <w:rPr>
          <w:rFonts w:cs="Arial"/>
          <w:b/>
          <w:bCs/>
          <w:sz w:val="48"/>
          <w:szCs w:val="48"/>
        </w:rPr>
      </w:pPr>
    </w:p>
    <w:p w:rsidR="009C4FAA" w:rsidRDefault="009C4FAA" w:rsidP="00D571E2">
      <w:pPr>
        <w:jc w:val="center"/>
        <w:rPr>
          <w:rFonts w:cs="Arial"/>
          <w:b/>
          <w:bCs/>
          <w:sz w:val="48"/>
          <w:szCs w:val="48"/>
        </w:rPr>
      </w:pPr>
    </w:p>
    <w:p w:rsidR="009C4FAA" w:rsidRDefault="009C4FAA" w:rsidP="00D571E2">
      <w:pPr>
        <w:jc w:val="center"/>
        <w:rPr>
          <w:rFonts w:cs="Arial"/>
          <w:b/>
          <w:bCs/>
          <w:sz w:val="48"/>
          <w:szCs w:val="48"/>
        </w:rPr>
      </w:pPr>
    </w:p>
    <w:p w:rsidR="00D571E2" w:rsidRPr="00D571E2" w:rsidRDefault="002E5E96" w:rsidP="00D571E2">
      <w:pPr>
        <w:jc w:val="center"/>
        <w:rPr>
          <w:rFonts w:cs="Arial"/>
          <w:b/>
          <w:bCs/>
          <w:sz w:val="48"/>
          <w:szCs w:val="48"/>
        </w:rPr>
      </w:pPr>
      <w:r>
        <w:rPr>
          <w:rFonts w:cs="Arial"/>
          <w:b/>
          <w:bCs/>
          <w:sz w:val="48"/>
          <w:szCs w:val="48"/>
        </w:rPr>
        <w:t xml:space="preserve">Looking </w:t>
      </w:r>
      <w:r w:rsidR="00615CE3">
        <w:rPr>
          <w:rFonts w:cs="Arial"/>
          <w:b/>
          <w:bCs/>
          <w:sz w:val="48"/>
          <w:szCs w:val="48"/>
        </w:rPr>
        <w:t>Into</w:t>
      </w:r>
      <w:r w:rsidR="00D571E2" w:rsidRPr="00D571E2">
        <w:rPr>
          <w:rFonts w:cs="Arial"/>
          <w:b/>
          <w:bCs/>
          <w:sz w:val="48"/>
          <w:szCs w:val="48"/>
        </w:rPr>
        <w:t xml:space="preserve"> Poverty:</w:t>
      </w:r>
    </w:p>
    <w:p w:rsidR="00D571E2" w:rsidRDefault="00D571E2" w:rsidP="00D571E2">
      <w:pPr>
        <w:jc w:val="center"/>
        <w:rPr>
          <w:rFonts w:cs="Arial"/>
          <w:b/>
          <w:bCs/>
          <w:sz w:val="48"/>
          <w:szCs w:val="48"/>
        </w:rPr>
      </w:pPr>
      <w:r w:rsidRPr="00D571E2">
        <w:rPr>
          <w:rFonts w:cs="Arial"/>
          <w:b/>
          <w:bCs/>
          <w:sz w:val="48"/>
          <w:szCs w:val="48"/>
        </w:rPr>
        <w:t xml:space="preserve">Income Sources of </w:t>
      </w:r>
    </w:p>
    <w:p w:rsidR="00D571E2" w:rsidRDefault="00D571E2" w:rsidP="00D571E2">
      <w:pPr>
        <w:jc w:val="center"/>
        <w:rPr>
          <w:rFonts w:cs="Arial"/>
          <w:b/>
          <w:bCs/>
          <w:sz w:val="48"/>
          <w:szCs w:val="48"/>
        </w:rPr>
      </w:pPr>
      <w:r w:rsidRPr="00D571E2">
        <w:rPr>
          <w:rFonts w:cs="Arial"/>
          <w:b/>
          <w:bCs/>
          <w:sz w:val="48"/>
          <w:szCs w:val="48"/>
        </w:rPr>
        <w:t xml:space="preserve">Poor People with Disabilities </w:t>
      </w:r>
    </w:p>
    <w:p w:rsidR="00DC2B73" w:rsidRPr="00EF29B7" w:rsidRDefault="00D571E2" w:rsidP="00D571E2">
      <w:pPr>
        <w:jc w:val="center"/>
        <w:rPr>
          <w:rFonts w:cs="Arial"/>
          <w:b/>
          <w:bCs/>
          <w:sz w:val="48"/>
          <w:szCs w:val="48"/>
        </w:rPr>
      </w:pPr>
      <w:proofErr w:type="gramStart"/>
      <w:r w:rsidRPr="00D571E2">
        <w:rPr>
          <w:rFonts w:cs="Arial"/>
          <w:b/>
          <w:bCs/>
          <w:sz w:val="48"/>
          <w:szCs w:val="48"/>
        </w:rPr>
        <w:t>in</w:t>
      </w:r>
      <w:proofErr w:type="gramEnd"/>
      <w:r w:rsidRPr="00D571E2">
        <w:rPr>
          <w:rFonts w:cs="Arial"/>
          <w:b/>
          <w:bCs/>
          <w:sz w:val="48"/>
          <w:szCs w:val="48"/>
        </w:rPr>
        <w:t xml:space="preserve"> Canada</w:t>
      </w:r>
    </w:p>
    <w:p w:rsidR="00DC2B73" w:rsidRPr="00EF29B7" w:rsidRDefault="00DC2B73" w:rsidP="00DC2B73">
      <w:pPr>
        <w:jc w:val="center"/>
        <w:rPr>
          <w:rFonts w:cs="Arial"/>
          <w:b/>
          <w:bCs/>
          <w:sz w:val="36"/>
        </w:rPr>
      </w:pPr>
    </w:p>
    <w:p w:rsidR="00DC2B73" w:rsidRPr="00EF29B7" w:rsidRDefault="00DC2B73" w:rsidP="00DC2B73">
      <w:pPr>
        <w:jc w:val="center"/>
        <w:rPr>
          <w:rFonts w:cs="Arial"/>
        </w:rPr>
      </w:pPr>
      <w:r w:rsidRPr="00EF29B7">
        <w:rPr>
          <w:rFonts w:cs="Arial"/>
          <w:sz w:val="36"/>
        </w:rPr>
        <w:br w:type="page"/>
      </w:r>
    </w:p>
    <w:p w:rsidR="00DC2B73" w:rsidRPr="00EF29B7" w:rsidRDefault="00DC2B73" w:rsidP="00DC2B73">
      <w:pPr>
        <w:rPr>
          <w:rFonts w:cs="Arial"/>
          <w:sz w:val="22"/>
        </w:rPr>
      </w:pPr>
      <w:r w:rsidRPr="00EF29B7">
        <w:rPr>
          <w:rFonts w:cs="Arial"/>
          <w:sz w:val="22"/>
        </w:rPr>
        <w:t>Copyright © 20</w:t>
      </w:r>
      <w:r w:rsidR="000C3AB0">
        <w:rPr>
          <w:rFonts w:cs="Arial"/>
          <w:sz w:val="22"/>
        </w:rPr>
        <w:t>13</w:t>
      </w:r>
      <w:r>
        <w:rPr>
          <w:rFonts w:cs="Arial"/>
          <w:sz w:val="22"/>
        </w:rPr>
        <w:t xml:space="preserve"> by the Institute for Research and Development on Inclusion and Society (IRIS)</w:t>
      </w:r>
    </w:p>
    <w:p w:rsidR="00DC2B73" w:rsidRPr="00EF29B7" w:rsidRDefault="00DC2B73" w:rsidP="00DC2B73">
      <w:pPr>
        <w:pStyle w:val="BodyText"/>
        <w:jc w:val="left"/>
        <w:rPr>
          <w:rFonts w:ascii="Georgia" w:hAnsi="Georgia" w:cs="Arial"/>
          <w:b w:val="0"/>
          <w:bCs w:val="0"/>
          <w:sz w:val="22"/>
        </w:rPr>
      </w:pPr>
    </w:p>
    <w:p w:rsidR="00DC2B73" w:rsidRDefault="00DC2B73" w:rsidP="00DC2B73">
      <w:pPr>
        <w:pStyle w:val="BodyText"/>
        <w:ind w:firstLine="360"/>
        <w:jc w:val="left"/>
        <w:rPr>
          <w:rFonts w:ascii="Georgia" w:hAnsi="Georgia" w:cs="Arial"/>
          <w:b w:val="0"/>
          <w:bCs w:val="0"/>
          <w:sz w:val="22"/>
        </w:rPr>
      </w:pPr>
    </w:p>
    <w:p w:rsidR="00DC2B73" w:rsidRDefault="00DC2B73" w:rsidP="00DC2B73">
      <w:pPr>
        <w:pStyle w:val="BodyText"/>
        <w:ind w:firstLine="360"/>
        <w:jc w:val="left"/>
        <w:rPr>
          <w:rFonts w:ascii="Georgia" w:hAnsi="Georgia" w:cs="Arial"/>
          <w:b w:val="0"/>
          <w:bCs w:val="0"/>
          <w:sz w:val="22"/>
        </w:rPr>
      </w:pPr>
    </w:p>
    <w:p w:rsidR="00DC2B73" w:rsidRPr="00EF29B7" w:rsidRDefault="00DC2B73" w:rsidP="00DC2B73">
      <w:pPr>
        <w:pStyle w:val="BodyText"/>
        <w:ind w:firstLine="360"/>
        <w:jc w:val="left"/>
        <w:rPr>
          <w:rFonts w:ascii="Georgia" w:hAnsi="Georgia" w:cs="Arial"/>
          <w:b w:val="0"/>
          <w:bCs w:val="0"/>
          <w:sz w:val="22"/>
        </w:rPr>
      </w:pPr>
    </w:p>
    <w:p w:rsidR="00DC2B73" w:rsidRPr="00EF29B7" w:rsidRDefault="000C3AB0" w:rsidP="00DC2B73">
      <w:pPr>
        <w:pStyle w:val="BodyText"/>
        <w:jc w:val="left"/>
        <w:rPr>
          <w:rFonts w:ascii="Georgia" w:hAnsi="Georgia" w:cs="Arial"/>
          <w:b w:val="0"/>
          <w:bCs w:val="0"/>
          <w:sz w:val="22"/>
        </w:rPr>
      </w:pPr>
      <w:r>
        <w:rPr>
          <w:rFonts w:ascii="Georgia" w:hAnsi="Georgia" w:cs="Arial"/>
          <w:b w:val="0"/>
          <w:bCs w:val="0"/>
          <w:sz w:val="22"/>
        </w:rPr>
        <w:t>Crawford, Cameron</w:t>
      </w:r>
    </w:p>
    <w:p w:rsidR="00DC2B73" w:rsidRPr="00EF29B7" w:rsidRDefault="00DC2B73" w:rsidP="00DC2B73">
      <w:pPr>
        <w:pStyle w:val="BodyText"/>
        <w:jc w:val="left"/>
        <w:rPr>
          <w:rFonts w:ascii="Georgia" w:hAnsi="Georgia" w:cs="Arial"/>
          <w:b w:val="0"/>
          <w:bCs w:val="0"/>
          <w:sz w:val="22"/>
        </w:rPr>
      </w:pPr>
    </w:p>
    <w:p w:rsidR="00DC2B73" w:rsidRPr="00EF29B7" w:rsidRDefault="00615CE3" w:rsidP="000C3AB0">
      <w:pPr>
        <w:pStyle w:val="BodyText"/>
        <w:jc w:val="left"/>
        <w:rPr>
          <w:rFonts w:ascii="Georgia" w:hAnsi="Georgia" w:cs="Arial"/>
          <w:b w:val="0"/>
          <w:bCs w:val="0"/>
          <w:sz w:val="22"/>
        </w:rPr>
      </w:pPr>
      <w:r>
        <w:rPr>
          <w:rFonts w:ascii="Georgia" w:hAnsi="Georgia" w:cs="Arial"/>
          <w:b w:val="0"/>
          <w:bCs w:val="0"/>
          <w:sz w:val="22"/>
        </w:rPr>
        <w:t>Looking into</w:t>
      </w:r>
      <w:r w:rsidR="000C3AB0" w:rsidRPr="000C3AB0">
        <w:rPr>
          <w:rFonts w:ascii="Georgia" w:hAnsi="Georgia" w:cs="Arial"/>
          <w:b w:val="0"/>
          <w:bCs w:val="0"/>
          <w:sz w:val="22"/>
        </w:rPr>
        <w:t xml:space="preserve"> </w:t>
      </w:r>
      <w:r w:rsidR="00B43E93" w:rsidRPr="000C3AB0">
        <w:rPr>
          <w:rFonts w:ascii="Georgia" w:hAnsi="Georgia" w:cs="Arial"/>
          <w:b w:val="0"/>
          <w:bCs w:val="0"/>
          <w:sz w:val="22"/>
        </w:rPr>
        <w:t>poverty:</w:t>
      </w:r>
      <w:r w:rsidR="00B43E93">
        <w:rPr>
          <w:rFonts w:ascii="Georgia" w:hAnsi="Georgia" w:cs="Arial"/>
          <w:b w:val="0"/>
          <w:bCs w:val="0"/>
          <w:sz w:val="22"/>
        </w:rPr>
        <w:t xml:space="preserve"> I</w:t>
      </w:r>
      <w:r w:rsidR="00B43E93" w:rsidRPr="000C3AB0">
        <w:rPr>
          <w:rFonts w:ascii="Georgia" w:hAnsi="Georgia" w:cs="Arial"/>
          <w:b w:val="0"/>
          <w:bCs w:val="0"/>
          <w:sz w:val="22"/>
        </w:rPr>
        <w:t xml:space="preserve">ncome sources of poor people with disabilities </w:t>
      </w:r>
      <w:r w:rsidR="00B43E93">
        <w:rPr>
          <w:rFonts w:ascii="Georgia" w:hAnsi="Georgia" w:cs="Arial"/>
          <w:b w:val="0"/>
          <w:bCs w:val="0"/>
          <w:sz w:val="22"/>
        </w:rPr>
        <w:t>i</w:t>
      </w:r>
      <w:r w:rsidR="00B43E93" w:rsidRPr="000C3AB0">
        <w:rPr>
          <w:rFonts w:ascii="Georgia" w:hAnsi="Georgia" w:cs="Arial"/>
          <w:b w:val="0"/>
          <w:bCs w:val="0"/>
          <w:sz w:val="22"/>
        </w:rPr>
        <w:t xml:space="preserve">n </w:t>
      </w:r>
      <w:r w:rsidR="000C3AB0" w:rsidRPr="000C3AB0">
        <w:rPr>
          <w:rFonts w:ascii="Georgia" w:hAnsi="Georgia" w:cs="Arial"/>
          <w:b w:val="0"/>
          <w:bCs w:val="0"/>
          <w:sz w:val="22"/>
        </w:rPr>
        <w:t xml:space="preserve">Canada </w:t>
      </w:r>
      <w:r w:rsidR="00DC2B73" w:rsidRPr="00EF29B7">
        <w:rPr>
          <w:rFonts w:ascii="Georgia" w:hAnsi="Georgia" w:cs="Arial"/>
          <w:b w:val="0"/>
          <w:bCs w:val="0"/>
          <w:sz w:val="22"/>
        </w:rPr>
        <w:t xml:space="preserve">/ </w:t>
      </w:r>
    </w:p>
    <w:p w:rsidR="00DC2B73" w:rsidRPr="00EF29B7" w:rsidRDefault="000C3AB0" w:rsidP="00DC2B73">
      <w:pPr>
        <w:pStyle w:val="BodyText"/>
        <w:jc w:val="left"/>
        <w:rPr>
          <w:rFonts w:ascii="Georgia" w:hAnsi="Georgia" w:cs="Arial"/>
          <w:b w:val="0"/>
          <w:bCs w:val="0"/>
          <w:sz w:val="22"/>
        </w:rPr>
      </w:pPr>
      <w:r>
        <w:rPr>
          <w:rFonts w:ascii="Georgia" w:hAnsi="Georgia" w:cs="Arial"/>
          <w:b w:val="0"/>
          <w:bCs w:val="0"/>
          <w:sz w:val="22"/>
        </w:rPr>
        <w:t>Cameron Crawford</w:t>
      </w: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roofErr w:type="gramStart"/>
      <w:r>
        <w:rPr>
          <w:rFonts w:ascii="Georgia" w:hAnsi="Georgia" w:cs="Arial"/>
          <w:b w:val="0"/>
          <w:bCs w:val="0"/>
          <w:sz w:val="22"/>
        </w:rPr>
        <w:t xml:space="preserve">ISBN </w:t>
      </w:r>
      <w:r w:rsidRPr="00D2501D">
        <w:rPr>
          <w:rFonts w:ascii="Georgia" w:hAnsi="Georgia" w:cs="Arial"/>
          <w:b w:val="0"/>
          <w:bCs w:val="0"/>
          <w:sz w:val="22"/>
        </w:rPr>
        <w:t> </w:t>
      </w:r>
      <w:r w:rsidR="009C4FAA" w:rsidRPr="009C4FAA">
        <w:rPr>
          <w:rFonts w:ascii="Georgia" w:hAnsi="Georgia" w:cs="Arial"/>
          <w:b w:val="0"/>
          <w:bCs w:val="0"/>
          <w:sz w:val="22"/>
        </w:rPr>
        <w:t>978</w:t>
      </w:r>
      <w:proofErr w:type="gramEnd"/>
      <w:r w:rsidR="009C4FAA" w:rsidRPr="009C4FAA">
        <w:rPr>
          <w:rFonts w:ascii="Georgia" w:hAnsi="Georgia" w:cs="Arial"/>
          <w:b w:val="0"/>
          <w:bCs w:val="0"/>
          <w:sz w:val="22"/>
        </w:rPr>
        <w:t>-1-897292-09-9</w:t>
      </w: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 xml:space="preserve">Institute for Research </w:t>
      </w:r>
      <w:r>
        <w:rPr>
          <w:rFonts w:ascii="Georgia" w:hAnsi="Georgia" w:cs="Arial"/>
          <w:b w:val="0"/>
          <w:bCs w:val="0"/>
          <w:sz w:val="22"/>
        </w:rPr>
        <w:t xml:space="preserve">and Development </w:t>
      </w:r>
      <w:r w:rsidRPr="00EF29B7">
        <w:rPr>
          <w:rFonts w:ascii="Georgia" w:hAnsi="Georgia" w:cs="Arial"/>
          <w:b w:val="0"/>
          <w:bCs w:val="0"/>
          <w:sz w:val="22"/>
        </w:rPr>
        <w:t>on Inclusion and Society</w:t>
      </w:r>
      <w:r>
        <w:rPr>
          <w:rFonts w:ascii="Georgia" w:hAnsi="Georgia" w:cs="Arial"/>
          <w:b w:val="0"/>
          <w:bCs w:val="0"/>
          <w:sz w:val="22"/>
        </w:rPr>
        <w:t xml:space="preserve"> (IRIS)</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Kinsmen Building, York University</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 xml:space="preserve">4700 </w:t>
      </w:r>
      <w:proofErr w:type="spellStart"/>
      <w:r w:rsidRPr="00EF29B7">
        <w:rPr>
          <w:rFonts w:ascii="Georgia" w:hAnsi="Georgia" w:cs="Arial"/>
          <w:b w:val="0"/>
          <w:bCs w:val="0"/>
          <w:sz w:val="22"/>
        </w:rPr>
        <w:t>Keele</w:t>
      </w:r>
      <w:proofErr w:type="spellEnd"/>
      <w:r w:rsidRPr="00EF29B7">
        <w:rPr>
          <w:rFonts w:ascii="Georgia" w:hAnsi="Georgia" w:cs="Arial"/>
          <w:b w:val="0"/>
          <w:bCs w:val="0"/>
          <w:sz w:val="22"/>
        </w:rPr>
        <w:t xml:space="preserve"> Street</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Toronto (North York), Ontario M3J 1P3</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Tel: (416) 661-9611</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Fax (416) 661-5701</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TDD: (416) 661-2023</w:t>
      </w:r>
    </w:p>
    <w:p w:rsidR="00DC2B73" w:rsidRPr="00EF29B7" w:rsidRDefault="00DC2B73" w:rsidP="00DC2B73">
      <w:pPr>
        <w:pStyle w:val="BodyText"/>
        <w:jc w:val="left"/>
        <w:rPr>
          <w:rFonts w:ascii="Georgia" w:hAnsi="Georgia" w:cs="Arial"/>
          <w:b w:val="0"/>
          <w:bCs w:val="0"/>
          <w:sz w:val="22"/>
        </w:rPr>
      </w:pPr>
      <w:r w:rsidRPr="00EF29B7">
        <w:rPr>
          <w:rFonts w:ascii="Georgia" w:hAnsi="Georgia" w:cs="Arial"/>
          <w:b w:val="0"/>
          <w:bCs w:val="0"/>
          <w:sz w:val="22"/>
        </w:rPr>
        <w:t>www.irisinstitute.ca</w:t>
      </w:r>
    </w:p>
    <w:p w:rsidR="00DC2B73" w:rsidRPr="00EF29B7" w:rsidRDefault="00DC2B73" w:rsidP="00DC2B73">
      <w:pPr>
        <w:pStyle w:val="BodyText"/>
        <w:ind w:firstLine="360"/>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r w:rsidRPr="00EF29B7">
        <w:rPr>
          <w:rFonts w:ascii="Georgia" w:hAnsi="Georgia" w:cs="Arial"/>
          <w:b w:val="0"/>
          <w:bCs w:val="0"/>
          <w:i/>
          <w:iCs/>
          <w:sz w:val="22"/>
        </w:rPr>
        <w:t>Researcher and Author</w:t>
      </w:r>
    </w:p>
    <w:p w:rsidR="00DC2B73" w:rsidRDefault="00B43E93" w:rsidP="00DC2B73">
      <w:pPr>
        <w:pStyle w:val="BodyText"/>
        <w:jc w:val="left"/>
        <w:rPr>
          <w:rFonts w:ascii="Georgia" w:hAnsi="Georgia" w:cs="Arial"/>
          <w:b w:val="0"/>
          <w:bCs w:val="0"/>
          <w:sz w:val="22"/>
        </w:rPr>
      </w:pPr>
      <w:r>
        <w:rPr>
          <w:rFonts w:ascii="Georgia" w:hAnsi="Georgia" w:cs="Arial"/>
          <w:b w:val="0"/>
          <w:bCs w:val="0"/>
          <w:sz w:val="22"/>
        </w:rPr>
        <w:t>Cameron Crawford</w:t>
      </w:r>
    </w:p>
    <w:p w:rsidR="00DC2B73" w:rsidRDefault="00DC2B73" w:rsidP="00DC2B73">
      <w:pPr>
        <w:pStyle w:val="BodyText"/>
        <w:ind w:firstLine="360"/>
        <w:jc w:val="left"/>
        <w:rPr>
          <w:rFonts w:ascii="Georgia" w:hAnsi="Georgia" w:cs="Arial"/>
          <w:b w:val="0"/>
          <w:bCs w:val="0"/>
          <w:sz w:val="22"/>
        </w:rPr>
      </w:pPr>
    </w:p>
    <w:p w:rsidR="00510121" w:rsidRDefault="00510121" w:rsidP="00DC2B73">
      <w:pPr>
        <w:pStyle w:val="BodyText"/>
        <w:ind w:firstLine="360"/>
        <w:jc w:val="left"/>
        <w:rPr>
          <w:rFonts w:ascii="Georgia" w:hAnsi="Georgia" w:cs="Arial"/>
          <w:b w:val="0"/>
          <w:bCs w:val="0"/>
          <w:sz w:val="22"/>
        </w:rPr>
      </w:pPr>
    </w:p>
    <w:p w:rsidR="00510121" w:rsidRPr="00656CA8" w:rsidRDefault="00510121" w:rsidP="00510121">
      <w:pPr>
        <w:spacing w:after="0"/>
        <w:rPr>
          <w:sz w:val="22"/>
          <w:lang w:val="en-US"/>
        </w:rPr>
      </w:pPr>
      <w:r w:rsidRPr="00656CA8">
        <w:rPr>
          <w:sz w:val="22"/>
          <w:lang w:val="en-US"/>
        </w:rPr>
        <w:t xml:space="preserve">Cameron Crawford is Director of Research, </w:t>
      </w:r>
    </w:p>
    <w:p w:rsidR="00510121" w:rsidRPr="00510121" w:rsidRDefault="00510121" w:rsidP="00510121">
      <w:pPr>
        <w:pStyle w:val="BodyText"/>
        <w:jc w:val="both"/>
        <w:rPr>
          <w:rFonts w:ascii="Georgia" w:hAnsi="Georgia" w:cs="Arial"/>
          <w:b w:val="0"/>
          <w:bCs w:val="0"/>
          <w:sz w:val="22"/>
        </w:rPr>
      </w:pPr>
      <w:r w:rsidRPr="00510121">
        <w:rPr>
          <w:rFonts w:ascii="Georgia" w:hAnsi="Georgia"/>
          <w:b w:val="0"/>
          <w:sz w:val="22"/>
          <w:lang w:val="en-US"/>
        </w:rPr>
        <w:t xml:space="preserve">Institute for Research and Development </w:t>
      </w:r>
      <w:r w:rsidR="00D3575E">
        <w:rPr>
          <w:rFonts w:ascii="Georgia" w:hAnsi="Georgia"/>
          <w:b w:val="0"/>
          <w:sz w:val="22"/>
          <w:lang w:val="en-US"/>
        </w:rPr>
        <w:t>on Inclusion and Society (IRIS)</w:t>
      </w:r>
    </w:p>
    <w:p w:rsidR="00DC2B73" w:rsidRPr="00EF29B7" w:rsidRDefault="00DC2B73" w:rsidP="00DC2B73">
      <w:pPr>
        <w:pStyle w:val="BodyText"/>
        <w:ind w:firstLine="360"/>
        <w:jc w:val="left"/>
        <w:rPr>
          <w:rFonts w:ascii="Georgia" w:hAnsi="Georgia" w:cs="Arial"/>
          <w:b w:val="0"/>
          <w:bCs w:val="0"/>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p>
    <w:p w:rsidR="00DC2B73" w:rsidRPr="00EF29B7" w:rsidRDefault="00DC2B73" w:rsidP="00DC2B73">
      <w:pPr>
        <w:pStyle w:val="BodyText"/>
        <w:jc w:val="left"/>
        <w:rPr>
          <w:rFonts w:ascii="Georgia" w:hAnsi="Georgia" w:cs="Arial"/>
          <w:b w:val="0"/>
          <w:bCs w:val="0"/>
          <w:i/>
          <w:iCs/>
          <w:sz w:val="22"/>
        </w:rPr>
      </w:pPr>
      <w:r w:rsidRPr="00EF29B7">
        <w:rPr>
          <w:rFonts w:ascii="Georgia" w:hAnsi="Georgia" w:cs="Arial"/>
          <w:b w:val="0"/>
          <w:bCs w:val="0"/>
          <w:i/>
          <w:iCs/>
          <w:sz w:val="22"/>
        </w:rPr>
        <w:t>The recommended citation for this publication is:</w:t>
      </w:r>
    </w:p>
    <w:p w:rsidR="00DC2B73" w:rsidRPr="00EF29B7" w:rsidRDefault="00B43E93" w:rsidP="00DC2B73">
      <w:pPr>
        <w:pStyle w:val="BodyText"/>
        <w:jc w:val="left"/>
        <w:rPr>
          <w:rFonts w:ascii="Georgia" w:hAnsi="Georgia" w:cs="Arial"/>
          <w:b w:val="0"/>
          <w:bCs w:val="0"/>
          <w:sz w:val="22"/>
        </w:rPr>
      </w:pPr>
      <w:r>
        <w:rPr>
          <w:rFonts w:ascii="Georgia" w:hAnsi="Georgia" w:cs="Arial"/>
          <w:b w:val="0"/>
          <w:bCs w:val="0"/>
          <w:sz w:val="22"/>
        </w:rPr>
        <w:t>Crawford, Cameron</w:t>
      </w:r>
      <w:r w:rsidR="00DC2B73" w:rsidRPr="00EF29B7">
        <w:rPr>
          <w:rFonts w:ascii="Georgia" w:hAnsi="Georgia" w:cs="Arial"/>
          <w:b w:val="0"/>
          <w:bCs w:val="0"/>
          <w:sz w:val="22"/>
        </w:rPr>
        <w:t xml:space="preserve"> (20</w:t>
      </w:r>
      <w:r>
        <w:rPr>
          <w:rFonts w:ascii="Georgia" w:hAnsi="Georgia" w:cs="Arial"/>
          <w:b w:val="0"/>
          <w:bCs w:val="0"/>
          <w:sz w:val="22"/>
        </w:rPr>
        <w:t>13</w:t>
      </w:r>
      <w:r w:rsidR="00DC2B73" w:rsidRPr="00EF29B7">
        <w:rPr>
          <w:rFonts w:ascii="Georgia" w:hAnsi="Georgia" w:cs="Arial"/>
          <w:b w:val="0"/>
          <w:bCs w:val="0"/>
          <w:sz w:val="22"/>
        </w:rPr>
        <w:t xml:space="preserve">). </w:t>
      </w:r>
      <w:proofErr w:type="gramStart"/>
      <w:r w:rsidR="00615CE3">
        <w:rPr>
          <w:rFonts w:ascii="Georgia" w:hAnsi="Georgia" w:cs="Arial"/>
          <w:b w:val="0"/>
          <w:bCs w:val="0"/>
          <w:sz w:val="22"/>
        </w:rPr>
        <w:t>Looking into</w:t>
      </w:r>
      <w:r w:rsidRPr="000C3AB0">
        <w:rPr>
          <w:rFonts w:ascii="Georgia" w:hAnsi="Georgia" w:cs="Arial"/>
          <w:b w:val="0"/>
          <w:bCs w:val="0"/>
          <w:sz w:val="22"/>
        </w:rPr>
        <w:t xml:space="preserve"> poverty:</w:t>
      </w:r>
      <w:r>
        <w:rPr>
          <w:rFonts w:ascii="Georgia" w:hAnsi="Georgia" w:cs="Arial"/>
          <w:b w:val="0"/>
          <w:bCs w:val="0"/>
          <w:sz w:val="22"/>
        </w:rPr>
        <w:t xml:space="preserve"> I</w:t>
      </w:r>
      <w:r w:rsidRPr="000C3AB0">
        <w:rPr>
          <w:rFonts w:ascii="Georgia" w:hAnsi="Georgia" w:cs="Arial"/>
          <w:b w:val="0"/>
          <w:bCs w:val="0"/>
          <w:sz w:val="22"/>
        </w:rPr>
        <w:t xml:space="preserve">ncome sources of poor people with disabilities </w:t>
      </w:r>
      <w:r>
        <w:rPr>
          <w:rFonts w:ascii="Georgia" w:hAnsi="Georgia" w:cs="Arial"/>
          <w:b w:val="0"/>
          <w:bCs w:val="0"/>
          <w:sz w:val="22"/>
        </w:rPr>
        <w:t>i</w:t>
      </w:r>
      <w:r w:rsidRPr="000C3AB0">
        <w:rPr>
          <w:rFonts w:ascii="Georgia" w:hAnsi="Georgia" w:cs="Arial"/>
          <w:b w:val="0"/>
          <w:bCs w:val="0"/>
          <w:sz w:val="22"/>
        </w:rPr>
        <w:t>n Canada</w:t>
      </w:r>
      <w:r w:rsidR="00DC2B73" w:rsidRPr="00EF29B7">
        <w:rPr>
          <w:rFonts w:ascii="Georgia" w:hAnsi="Georgia" w:cs="Arial"/>
          <w:b w:val="0"/>
          <w:bCs w:val="0"/>
          <w:sz w:val="22"/>
        </w:rPr>
        <w:t>.</w:t>
      </w:r>
      <w:proofErr w:type="gramEnd"/>
      <w:r w:rsidR="00DC2B73" w:rsidRPr="00EF29B7">
        <w:rPr>
          <w:rFonts w:ascii="Georgia" w:hAnsi="Georgia" w:cs="Arial"/>
          <w:b w:val="0"/>
          <w:bCs w:val="0"/>
          <w:sz w:val="22"/>
        </w:rPr>
        <w:t xml:space="preserve"> Toronto: Institute for Research </w:t>
      </w:r>
      <w:r w:rsidR="00DC2B73">
        <w:rPr>
          <w:rFonts w:ascii="Georgia" w:hAnsi="Georgia" w:cs="Arial"/>
          <w:b w:val="0"/>
          <w:bCs w:val="0"/>
          <w:sz w:val="22"/>
        </w:rPr>
        <w:t xml:space="preserve">and Development </w:t>
      </w:r>
      <w:r w:rsidR="00DC2B73" w:rsidRPr="00EF29B7">
        <w:rPr>
          <w:rFonts w:ascii="Georgia" w:hAnsi="Georgia" w:cs="Arial"/>
          <w:b w:val="0"/>
          <w:bCs w:val="0"/>
          <w:sz w:val="22"/>
        </w:rPr>
        <w:t>on Inclusion and Society (IRIS)</w:t>
      </w:r>
      <w:r w:rsidR="00A45106">
        <w:rPr>
          <w:rFonts w:ascii="Georgia" w:hAnsi="Georgia" w:cs="Arial"/>
          <w:b w:val="0"/>
          <w:bCs w:val="0"/>
          <w:sz w:val="22"/>
        </w:rPr>
        <w:t xml:space="preserve"> and Council of Canadians with Disabilities</w:t>
      </w:r>
      <w:r w:rsidR="00DC2B73" w:rsidRPr="00EF29B7">
        <w:rPr>
          <w:rFonts w:ascii="Georgia" w:hAnsi="Georgia" w:cs="Arial"/>
          <w:b w:val="0"/>
          <w:bCs w:val="0"/>
          <w:sz w:val="22"/>
        </w:rPr>
        <w:t>.</w:t>
      </w:r>
    </w:p>
    <w:p w:rsidR="00DC2B73" w:rsidRPr="00EF29B7" w:rsidRDefault="00DC2B73" w:rsidP="00DC2B73">
      <w:pPr>
        <w:pStyle w:val="BodyText"/>
        <w:ind w:firstLine="360"/>
        <w:jc w:val="left"/>
        <w:rPr>
          <w:rFonts w:ascii="Georgia" w:hAnsi="Georgia" w:cs="Arial"/>
          <w:b w:val="0"/>
          <w:bCs w:val="0"/>
          <w:sz w:val="22"/>
        </w:rPr>
      </w:pPr>
    </w:p>
    <w:p w:rsidR="00DC2B73" w:rsidRPr="00EF29B7" w:rsidRDefault="00DC2B73" w:rsidP="00DC2B73">
      <w:pPr>
        <w:pStyle w:val="BodyText3"/>
        <w:rPr>
          <w:rFonts w:ascii="Georgia" w:hAnsi="Georgia" w:cs="Arial"/>
        </w:rPr>
      </w:pPr>
      <w:r w:rsidRPr="00EF29B7">
        <w:rPr>
          <w:rFonts w:ascii="Georgia" w:hAnsi="Georgia" w:cs="Arial"/>
        </w:rPr>
        <w:t xml:space="preserve">This project was funded in part by the </w:t>
      </w:r>
      <w:r w:rsidR="00B43E93">
        <w:rPr>
          <w:rFonts w:ascii="Georgia" w:hAnsi="Georgia" w:cs="Arial"/>
        </w:rPr>
        <w:t>Social Sciences and Humanities Research Council (SSHRC)</w:t>
      </w:r>
      <w:r w:rsidRPr="00EF29B7">
        <w:rPr>
          <w:rFonts w:ascii="Georgia" w:hAnsi="Georgia" w:cs="Arial"/>
        </w:rPr>
        <w:t xml:space="preserve">. The opinions and interpretations in this publication are those of the author and do not necessarily reflect those of </w:t>
      </w:r>
      <w:r w:rsidR="00B43E93">
        <w:rPr>
          <w:rFonts w:ascii="Georgia" w:hAnsi="Georgia" w:cs="Arial"/>
        </w:rPr>
        <w:t>SSHRC</w:t>
      </w:r>
      <w:r w:rsidRPr="00EF29B7">
        <w:rPr>
          <w:rFonts w:ascii="Georgia" w:hAnsi="Georgia" w:cs="Arial"/>
        </w:rPr>
        <w:t>.</w:t>
      </w:r>
    </w:p>
    <w:p w:rsidR="00DC2B73" w:rsidRPr="00EF29B7" w:rsidRDefault="00DC2B73" w:rsidP="00DC2B73">
      <w:pPr>
        <w:pStyle w:val="BodyText3"/>
        <w:rPr>
          <w:rFonts w:ascii="Georgia" w:hAnsi="Georgia" w:cs="Arial"/>
          <w:b/>
          <w:bCs/>
          <w:sz w:val="28"/>
        </w:rPr>
      </w:pPr>
      <w:r w:rsidRPr="00EF29B7">
        <w:rPr>
          <w:rFonts w:ascii="Georgia" w:hAnsi="Georgia" w:cs="Arial"/>
        </w:rPr>
        <w:br w:type="page"/>
      </w:r>
      <w:r w:rsidRPr="00EF29B7">
        <w:rPr>
          <w:rFonts w:ascii="Georgia" w:hAnsi="Georgia" w:cs="Arial"/>
          <w:b/>
          <w:bCs/>
          <w:sz w:val="28"/>
        </w:rPr>
        <w:lastRenderedPageBreak/>
        <w:t xml:space="preserve">About The Institute for Research </w:t>
      </w:r>
      <w:r>
        <w:rPr>
          <w:rFonts w:ascii="Georgia" w:hAnsi="Georgia" w:cs="Arial"/>
          <w:b/>
          <w:bCs/>
          <w:sz w:val="28"/>
        </w:rPr>
        <w:t xml:space="preserve">and Development </w:t>
      </w:r>
      <w:r w:rsidRPr="00EF29B7">
        <w:rPr>
          <w:rFonts w:ascii="Georgia" w:hAnsi="Georgia" w:cs="Arial"/>
          <w:b/>
          <w:bCs/>
          <w:sz w:val="28"/>
        </w:rPr>
        <w:t>on Inclusion and Society (IRIS)</w:t>
      </w:r>
    </w:p>
    <w:p w:rsidR="00DC2B73" w:rsidRPr="00EF29B7" w:rsidRDefault="00DC2B73" w:rsidP="00DC2B73">
      <w:pPr>
        <w:pStyle w:val="BodyText3"/>
        <w:rPr>
          <w:rFonts w:ascii="Georgia" w:hAnsi="Georgia" w:cs="Arial"/>
          <w:b/>
          <w:bCs/>
          <w:sz w:val="28"/>
        </w:rPr>
      </w:pPr>
    </w:p>
    <w:p w:rsidR="00DC2B73" w:rsidRPr="00082ACA" w:rsidRDefault="00B65F4D" w:rsidP="00DC2B73">
      <w:pPr>
        <w:ind w:firstLine="720"/>
        <w:rPr>
          <w:rFonts w:cs="Arial"/>
        </w:rPr>
      </w:pPr>
      <w:r w:rsidRPr="00082ACA">
        <w:rPr>
          <w:rFonts w:cs="Arial"/>
        </w:rPr>
        <w:t>T</w:t>
      </w:r>
      <w:r w:rsidR="00DC2B73" w:rsidRPr="00082ACA">
        <w:rPr>
          <w:rFonts w:cs="Arial"/>
        </w:rPr>
        <w:t xml:space="preserve">he Institute for Research and Development on Inclusion and Society (IRIS) provides research, new ways of thinking, inspiration and education to advance the citizenship, inclusion, human rights and well-being of people with intellectual and other disabilities. It builds on the legacy </w:t>
      </w:r>
      <w:proofErr w:type="spellStart"/>
      <w:r w:rsidR="00DC2B73" w:rsidRPr="00082ACA">
        <w:rPr>
          <w:rFonts w:cs="Arial"/>
        </w:rPr>
        <w:t>L’Institut</w:t>
      </w:r>
      <w:proofErr w:type="spellEnd"/>
      <w:r w:rsidR="00DC2B73" w:rsidRPr="00082ACA">
        <w:rPr>
          <w:rFonts w:cs="Arial"/>
        </w:rPr>
        <w:t xml:space="preserve"> </w:t>
      </w:r>
      <w:proofErr w:type="spellStart"/>
      <w:r w:rsidR="00DC2B73" w:rsidRPr="00082ACA">
        <w:rPr>
          <w:rFonts w:cs="Arial"/>
        </w:rPr>
        <w:t>Roeher</w:t>
      </w:r>
      <w:proofErr w:type="spellEnd"/>
      <w:r w:rsidR="00DC2B73" w:rsidRPr="00082ACA">
        <w:rPr>
          <w:rFonts w:cs="Arial"/>
        </w:rPr>
        <w:t xml:space="preserve"> Institute. IRIS is an independent Canadian research, policy, social development and educational think tank for the community living movement in collaboration with the broader disability community.</w:t>
      </w:r>
    </w:p>
    <w:p w:rsidR="00DC2B73" w:rsidRPr="00082ACA" w:rsidRDefault="00DC2B73" w:rsidP="00DC2B73">
      <w:pPr>
        <w:ind w:firstLine="720"/>
        <w:rPr>
          <w:rFonts w:cs="Arial"/>
        </w:rPr>
      </w:pPr>
      <w:r w:rsidRPr="00082ACA">
        <w:rPr>
          <w:rFonts w:cs="Arial"/>
        </w:rPr>
        <w:t xml:space="preserve">IRIS’ specific areas of research and resource development are: social inclusion and life beyond institutions; disability-related supports; education, literacy and learning; child development and family life; human rights, ethics and technology; personal safety and security, employment and income; social policy and change. </w:t>
      </w:r>
    </w:p>
    <w:p w:rsidR="00DC2B73" w:rsidRPr="00082ACA" w:rsidRDefault="00DC2B73" w:rsidP="00DC2B73">
      <w:pPr>
        <w:ind w:firstLine="360"/>
        <w:rPr>
          <w:rFonts w:cs="Arial"/>
        </w:rPr>
      </w:pPr>
      <w:r w:rsidRPr="00082ACA">
        <w:rPr>
          <w:rFonts w:cs="Arial"/>
        </w:rPr>
        <w:t xml:space="preserve">IRIS’ grounding assumptions are that, like others, people with intellectual and other disabilities want to be safe, included, valued, equal, </w:t>
      </w:r>
      <w:proofErr w:type="gramStart"/>
      <w:r w:rsidRPr="00082ACA">
        <w:rPr>
          <w:rFonts w:cs="Arial"/>
        </w:rPr>
        <w:t>free</w:t>
      </w:r>
      <w:proofErr w:type="gramEnd"/>
      <w:r w:rsidRPr="00082ACA">
        <w:rPr>
          <w:rFonts w:cs="Arial"/>
        </w:rPr>
        <w:t>. IRIS:</w:t>
      </w:r>
    </w:p>
    <w:p w:rsidR="00DC2B73" w:rsidRPr="00082ACA" w:rsidRDefault="00DC2B73" w:rsidP="00DC2B73">
      <w:pPr>
        <w:numPr>
          <w:ilvl w:val="0"/>
          <w:numId w:val="21"/>
        </w:numPr>
        <w:spacing w:after="0" w:line="240" w:lineRule="auto"/>
        <w:rPr>
          <w:rFonts w:cs="Arial"/>
        </w:rPr>
      </w:pPr>
      <w:r w:rsidRPr="00082ACA">
        <w:rPr>
          <w:rFonts w:cs="Arial"/>
        </w:rPr>
        <w:t xml:space="preserve">Liaises and collaborates with other experts; </w:t>
      </w:r>
    </w:p>
    <w:p w:rsidR="00DC2B73" w:rsidRPr="00082ACA" w:rsidRDefault="00DC2B73" w:rsidP="00DC2B73">
      <w:pPr>
        <w:numPr>
          <w:ilvl w:val="0"/>
          <w:numId w:val="21"/>
        </w:numPr>
        <w:spacing w:after="0" w:line="240" w:lineRule="auto"/>
        <w:rPr>
          <w:rFonts w:cs="Arial"/>
        </w:rPr>
      </w:pPr>
      <w:r w:rsidRPr="00082ACA">
        <w:rPr>
          <w:rFonts w:cs="Arial"/>
        </w:rPr>
        <w:t>Analyzes the social and economic realities facing people with intellectual and other disabilities and gives voice to their lived experiences;</w:t>
      </w:r>
    </w:p>
    <w:p w:rsidR="00DC2B73" w:rsidRPr="00082ACA" w:rsidRDefault="00DC2B73" w:rsidP="00DC2B73">
      <w:pPr>
        <w:numPr>
          <w:ilvl w:val="0"/>
          <w:numId w:val="21"/>
        </w:numPr>
        <w:spacing w:after="0" w:line="240" w:lineRule="auto"/>
        <w:rPr>
          <w:rFonts w:cs="Arial"/>
        </w:rPr>
      </w:pPr>
      <w:r w:rsidRPr="00082ACA">
        <w:rPr>
          <w:rFonts w:cs="Arial"/>
        </w:rPr>
        <w:t xml:space="preserve">Links issues of disability to broader research, policy, program and social development issues and agendas; </w:t>
      </w:r>
    </w:p>
    <w:p w:rsidR="00DC2B73" w:rsidRPr="00082ACA" w:rsidRDefault="00DC2B73" w:rsidP="00DC2B73">
      <w:pPr>
        <w:numPr>
          <w:ilvl w:val="0"/>
          <w:numId w:val="21"/>
        </w:numPr>
        <w:spacing w:after="0" w:line="240" w:lineRule="auto"/>
        <w:rPr>
          <w:rFonts w:cs="Arial"/>
        </w:rPr>
      </w:pPr>
      <w:r w:rsidRPr="00082ACA">
        <w:rPr>
          <w:rFonts w:cs="Arial"/>
        </w:rPr>
        <w:t>Attracts and develops skilled researchers and analysts;</w:t>
      </w:r>
    </w:p>
    <w:p w:rsidR="00DC2B73" w:rsidRPr="00082ACA" w:rsidRDefault="00DC2B73" w:rsidP="00DC2B73">
      <w:pPr>
        <w:numPr>
          <w:ilvl w:val="0"/>
          <w:numId w:val="21"/>
        </w:numPr>
        <w:spacing w:after="0" w:line="240" w:lineRule="auto"/>
        <w:rPr>
          <w:rFonts w:cs="Arial"/>
        </w:rPr>
      </w:pPr>
      <w:r w:rsidRPr="00082ACA">
        <w:rPr>
          <w:rFonts w:cs="Arial"/>
        </w:rPr>
        <w:t>Distributes others’ research and resources that warrant positive attention;</w:t>
      </w:r>
    </w:p>
    <w:p w:rsidR="00DC2B73" w:rsidRPr="00082ACA" w:rsidRDefault="00DC2B73" w:rsidP="00DC2B73">
      <w:pPr>
        <w:numPr>
          <w:ilvl w:val="0"/>
          <w:numId w:val="21"/>
        </w:numPr>
        <w:spacing w:after="0" w:line="240" w:lineRule="auto"/>
        <w:rPr>
          <w:rFonts w:cs="Arial"/>
        </w:rPr>
      </w:pPr>
      <w:r w:rsidRPr="00082ACA">
        <w:rPr>
          <w:rFonts w:cs="Arial"/>
        </w:rPr>
        <w:t>Provides a broad Canadian perspective and in-depth coverage;</w:t>
      </w:r>
    </w:p>
    <w:p w:rsidR="00DC2B73" w:rsidRPr="00082ACA" w:rsidRDefault="00DC2B73" w:rsidP="00DC2B73">
      <w:pPr>
        <w:numPr>
          <w:ilvl w:val="0"/>
          <w:numId w:val="21"/>
        </w:numPr>
        <w:spacing w:after="0" w:line="240" w:lineRule="auto"/>
        <w:rPr>
          <w:rFonts w:cs="Arial"/>
        </w:rPr>
      </w:pPr>
      <w:r w:rsidRPr="00082ACA">
        <w:rPr>
          <w:rFonts w:cs="Arial"/>
        </w:rPr>
        <w:t xml:space="preserve">Ensures its research is non-partisan, objective and meets the highest quality standards; </w:t>
      </w:r>
    </w:p>
    <w:p w:rsidR="00DC2B73" w:rsidRPr="00082ACA" w:rsidRDefault="00DC2B73" w:rsidP="00DC2B73">
      <w:pPr>
        <w:numPr>
          <w:ilvl w:val="0"/>
          <w:numId w:val="21"/>
        </w:numPr>
        <w:spacing w:after="0" w:line="240" w:lineRule="auto"/>
        <w:rPr>
          <w:rFonts w:cs="Arial"/>
        </w:rPr>
      </w:pPr>
      <w:r w:rsidRPr="00082ACA">
        <w:rPr>
          <w:rFonts w:cs="Arial"/>
        </w:rPr>
        <w:t>Points to supportive policy and program options; and</w:t>
      </w:r>
    </w:p>
    <w:p w:rsidR="00DC2B73" w:rsidRPr="00082ACA" w:rsidRDefault="00DC2B73" w:rsidP="00DC2B73">
      <w:pPr>
        <w:numPr>
          <w:ilvl w:val="0"/>
          <w:numId w:val="21"/>
        </w:numPr>
        <w:spacing w:after="0" w:line="240" w:lineRule="auto"/>
        <w:rPr>
          <w:rFonts w:cs="Arial"/>
        </w:rPr>
      </w:pPr>
      <w:r w:rsidRPr="00082ACA">
        <w:rPr>
          <w:rFonts w:cs="Arial"/>
        </w:rPr>
        <w:t xml:space="preserve">Helps move research and new knowledge into action through seminars, presentations, training and other knowledge mobilization strategies. </w:t>
      </w:r>
    </w:p>
    <w:p w:rsidR="00DC2B73" w:rsidRPr="00082ACA" w:rsidRDefault="00DC2B73" w:rsidP="00DC2B73">
      <w:pPr>
        <w:ind w:firstLine="720"/>
        <w:rPr>
          <w:rFonts w:cs="Arial"/>
        </w:rPr>
      </w:pPr>
    </w:p>
    <w:p w:rsidR="00C16F02" w:rsidRPr="00C16F02" w:rsidRDefault="00DC2B73" w:rsidP="00C16F02">
      <w:pPr>
        <w:rPr>
          <w:rFonts w:eastAsia="Times New Roman" w:cs="Arial"/>
          <w:b/>
          <w:bCs/>
          <w:sz w:val="28"/>
          <w:lang w:eastAsia="en-US"/>
        </w:rPr>
      </w:pPr>
      <w:r w:rsidRPr="00082ACA">
        <w:rPr>
          <w:rFonts w:cs="Arial"/>
        </w:rPr>
        <w:t>For more information, visit IRIS’ website at www.irisinstitute.ca.</w:t>
      </w:r>
      <w:r w:rsidRPr="00EF29B7">
        <w:rPr>
          <w:rFonts w:cs="Arial"/>
        </w:rPr>
        <w:br w:type="page"/>
      </w:r>
      <w:r w:rsidR="00C16F02" w:rsidRPr="00C16F02">
        <w:rPr>
          <w:rFonts w:eastAsia="Times New Roman" w:cs="Arial"/>
          <w:b/>
          <w:bCs/>
          <w:sz w:val="28"/>
          <w:lang w:eastAsia="en-US"/>
        </w:rPr>
        <w:lastRenderedPageBreak/>
        <w:t>About the Council of Canadians with Disabilities (CCD)</w:t>
      </w:r>
    </w:p>
    <w:p w:rsidR="00C16F02" w:rsidRPr="00C16F02" w:rsidRDefault="00C16F02" w:rsidP="00C16F02">
      <w:pPr>
        <w:ind w:firstLine="720"/>
        <w:rPr>
          <w:rFonts w:cs="Arial"/>
        </w:rPr>
      </w:pPr>
      <w:r w:rsidRPr="00C16F02">
        <w:rPr>
          <w:rFonts w:cs="Arial"/>
        </w:rPr>
        <w:t xml:space="preserve">The Council of Canadians with Disabilities (CCD), founded in 1976, brings together national and provincial organizations to promote access and inclusion of people with disabilities nationwide.  As the leading cross-disability organization of women and men, CCD unites people with all types of disabilities for the purpose of addressing public policy issues which affect the disability community.  CCD’s motto, “A Voice of Our Own” summarizes one of the organization’s most fundamental principles: people with disabilities, themselves, articulating recommendations regarding how to transform Canadian society to ensure that people with disabilities experience full citizenship.  CCD has had a unique impact on Canada’s public policy landscape, playing a leadership role in the development of the Registered Disability Savings Plan, expanding the accessibility of the federally regulated transportation system, securing Charter inclusion and protection, to name a few examples.  </w:t>
      </w:r>
    </w:p>
    <w:p w:rsidR="00C16F02" w:rsidRPr="00C16F02" w:rsidRDefault="00C16F02" w:rsidP="00C16F02">
      <w:pPr>
        <w:ind w:firstLine="720"/>
        <w:rPr>
          <w:rFonts w:cs="Arial"/>
        </w:rPr>
      </w:pPr>
      <w:r w:rsidRPr="00C16F02">
        <w:rPr>
          <w:rFonts w:cs="Arial"/>
        </w:rPr>
        <w:t>CCD’s priorities include improving access to disability-related supports and employment and eradicating poverty.  CCD addresses these and other priorities through:</w:t>
      </w:r>
    </w:p>
    <w:p w:rsidR="00C16F02" w:rsidRPr="00C16F02" w:rsidRDefault="00C16F02" w:rsidP="00C16F02">
      <w:pPr>
        <w:rPr>
          <w:rFonts w:cs="Arial"/>
        </w:rPr>
      </w:pPr>
      <w:r w:rsidRPr="00C16F02">
        <w:rPr>
          <w:rFonts w:cs="Arial"/>
          <w:b/>
        </w:rPr>
        <w:t>Law Reform and Policy Development</w:t>
      </w:r>
      <w:r w:rsidRPr="00C16F02">
        <w:rPr>
          <w:rFonts w:cs="Arial"/>
        </w:rPr>
        <w:t xml:space="preserve"> - Creating new approaches that conform to benchmarks set in the Convention on the Rights of Persons with Disabilities.  </w:t>
      </w:r>
    </w:p>
    <w:p w:rsidR="00C16F02" w:rsidRPr="00C16F02" w:rsidRDefault="00C16F02" w:rsidP="00C16F02">
      <w:pPr>
        <w:rPr>
          <w:rFonts w:cs="Arial"/>
        </w:rPr>
      </w:pPr>
      <w:r w:rsidRPr="00C16F02">
        <w:rPr>
          <w:rFonts w:cs="Arial"/>
          <w:b/>
        </w:rPr>
        <w:t>Research</w:t>
      </w:r>
      <w:r w:rsidRPr="00C16F02">
        <w:rPr>
          <w:rFonts w:cs="Arial"/>
        </w:rPr>
        <w:t xml:space="preserve"> – Developing new knowledge that will build an accessible and inclusive Canada.</w:t>
      </w:r>
    </w:p>
    <w:p w:rsidR="00C16F02" w:rsidRPr="00C16F02" w:rsidRDefault="00C16F02" w:rsidP="00C16F02">
      <w:pPr>
        <w:rPr>
          <w:rFonts w:cs="Arial"/>
        </w:rPr>
      </w:pPr>
      <w:r w:rsidRPr="00C16F02">
        <w:rPr>
          <w:rFonts w:cs="Arial"/>
          <w:b/>
        </w:rPr>
        <w:t>Awareness/Education</w:t>
      </w:r>
      <w:r w:rsidRPr="00C16F02">
        <w:rPr>
          <w:rFonts w:cs="Arial"/>
        </w:rPr>
        <w:t xml:space="preserve"> – Sharing expertise about what constitutes a barrier to inclusion and promoting remedies for correcting exclusionary practices.</w:t>
      </w:r>
    </w:p>
    <w:p w:rsidR="00D91224" w:rsidRDefault="00C16F02" w:rsidP="00C16F02">
      <w:pPr>
        <w:sectPr w:rsidR="00D91224">
          <w:pgSz w:w="12240" w:h="15840"/>
          <w:pgMar w:top="1440" w:right="1440" w:bottom="1440" w:left="1440" w:header="708" w:footer="708" w:gutter="0"/>
          <w:cols w:space="708"/>
          <w:docGrid w:linePitch="360"/>
        </w:sectPr>
      </w:pPr>
      <w:r w:rsidRPr="00C16F02">
        <w:rPr>
          <w:rFonts w:cs="Arial"/>
        </w:rPr>
        <w:t>For more information about CCD, please visit our website, www.ccdonline.ca.</w:t>
      </w:r>
    </w:p>
    <w:p w:rsidR="00786C36" w:rsidRDefault="00786C36" w:rsidP="00F64633">
      <w:pPr>
        <w:pStyle w:val="TOCHeading"/>
        <w:spacing w:before="0" w:line="240" w:lineRule="auto"/>
      </w:pPr>
      <w:r>
        <w:lastRenderedPageBreak/>
        <w:t>Contents</w:t>
      </w:r>
    </w:p>
    <w:p w:rsidR="00F64633" w:rsidRPr="008E2FCA" w:rsidRDefault="00BA78BD" w:rsidP="00F64633">
      <w:pPr>
        <w:pStyle w:val="TOC1"/>
        <w:rPr>
          <w:rFonts w:ascii="Calibri" w:eastAsia="Times New Roman" w:hAnsi="Calibri"/>
          <w:noProof/>
          <w:sz w:val="22"/>
          <w:szCs w:val="22"/>
        </w:rPr>
      </w:pPr>
      <w:r>
        <w:fldChar w:fldCharType="begin"/>
      </w:r>
      <w:r>
        <w:instrText xml:space="preserve"> TOC \o "1-3" \h \z \u </w:instrText>
      </w:r>
      <w:r>
        <w:fldChar w:fldCharType="separate"/>
      </w:r>
      <w:hyperlink w:anchor="_Toc361342884" w:history="1">
        <w:r w:rsidR="00F64633" w:rsidRPr="002F7273">
          <w:rPr>
            <w:rStyle w:val="Hyperlink"/>
            <w:noProof/>
          </w:rPr>
          <w:t>Executive Summary</w:t>
        </w:r>
        <w:r w:rsidR="00F64633">
          <w:rPr>
            <w:noProof/>
            <w:webHidden/>
          </w:rPr>
          <w:tab/>
        </w:r>
        <w:r w:rsidR="00F64633">
          <w:rPr>
            <w:noProof/>
            <w:webHidden/>
          </w:rPr>
          <w:fldChar w:fldCharType="begin"/>
        </w:r>
        <w:r w:rsidR="00F64633">
          <w:rPr>
            <w:noProof/>
            <w:webHidden/>
          </w:rPr>
          <w:instrText xml:space="preserve"> PAGEREF _Toc361342884 \h </w:instrText>
        </w:r>
        <w:r w:rsidR="00F64633">
          <w:rPr>
            <w:noProof/>
            <w:webHidden/>
          </w:rPr>
        </w:r>
        <w:r w:rsidR="00F64633">
          <w:rPr>
            <w:noProof/>
            <w:webHidden/>
          </w:rPr>
          <w:fldChar w:fldCharType="separate"/>
        </w:r>
        <w:r w:rsidR="00E57392">
          <w:rPr>
            <w:noProof/>
            <w:webHidden/>
          </w:rPr>
          <w:t>i</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885" w:history="1">
        <w:r w:rsidR="00F64633" w:rsidRPr="002F7273">
          <w:rPr>
            <w:rStyle w:val="Hyperlink"/>
            <w:noProof/>
          </w:rPr>
          <w:t>Introduction</w:t>
        </w:r>
        <w:r w:rsidR="00F64633">
          <w:rPr>
            <w:noProof/>
            <w:webHidden/>
          </w:rPr>
          <w:tab/>
        </w:r>
        <w:r w:rsidR="00F64633">
          <w:rPr>
            <w:noProof/>
            <w:webHidden/>
          </w:rPr>
          <w:fldChar w:fldCharType="begin"/>
        </w:r>
        <w:r w:rsidR="00F64633">
          <w:rPr>
            <w:noProof/>
            <w:webHidden/>
          </w:rPr>
          <w:instrText xml:space="preserve"> PAGEREF _Toc361342885 \h </w:instrText>
        </w:r>
        <w:r w:rsidR="00F64633">
          <w:rPr>
            <w:noProof/>
            <w:webHidden/>
          </w:rPr>
        </w:r>
        <w:r w:rsidR="00F64633">
          <w:rPr>
            <w:noProof/>
            <w:webHidden/>
          </w:rPr>
          <w:fldChar w:fldCharType="separate"/>
        </w:r>
        <w:r w:rsidR="00E57392">
          <w:rPr>
            <w:noProof/>
            <w:webHidden/>
          </w:rPr>
          <w:t>1</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886" w:history="1">
        <w:r w:rsidR="00F64633" w:rsidRPr="002F7273">
          <w:rPr>
            <w:rStyle w:val="Hyperlink"/>
            <w:noProof/>
          </w:rPr>
          <w:t>Notes on Method and Terms Used</w:t>
        </w:r>
        <w:r w:rsidR="00F64633">
          <w:rPr>
            <w:noProof/>
            <w:webHidden/>
          </w:rPr>
          <w:tab/>
        </w:r>
        <w:r w:rsidR="00F64633">
          <w:rPr>
            <w:noProof/>
            <w:webHidden/>
          </w:rPr>
          <w:fldChar w:fldCharType="begin"/>
        </w:r>
        <w:r w:rsidR="00F64633">
          <w:rPr>
            <w:noProof/>
            <w:webHidden/>
          </w:rPr>
          <w:instrText xml:space="preserve"> PAGEREF _Toc361342886 \h </w:instrText>
        </w:r>
        <w:r w:rsidR="00F64633">
          <w:rPr>
            <w:noProof/>
            <w:webHidden/>
          </w:rPr>
        </w:r>
        <w:r w:rsidR="00F64633">
          <w:rPr>
            <w:noProof/>
            <w:webHidden/>
          </w:rPr>
          <w:fldChar w:fldCharType="separate"/>
        </w:r>
        <w:r w:rsidR="00E57392">
          <w:rPr>
            <w:noProof/>
            <w:webHidden/>
          </w:rPr>
          <w:t>2</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87" w:history="1">
        <w:r w:rsidR="00F64633" w:rsidRPr="002F7273">
          <w:rPr>
            <w:rStyle w:val="Hyperlink"/>
            <w:noProof/>
          </w:rPr>
          <w:t>Survey of Labour and Income Dynamics (SLID)</w:t>
        </w:r>
        <w:r w:rsidR="00F64633">
          <w:rPr>
            <w:noProof/>
            <w:webHidden/>
          </w:rPr>
          <w:tab/>
        </w:r>
        <w:r w:rsidR="00F64633">
          <w:rPr>
            <w:noProof/>
            <w:webHidden/>
          </w:rPr>
          <w:fldChar w:fldCharType="begin"/>
        </w:r>
        <w:r w:rsidR="00F64633">
          <w:rPr>
            <w:noProof/>
            <w:webHidden/>
          </w:rPr>
          <w:instrText xml:space="preserve"> PAGEREF _Toc361342887 \h </w:instrText>
        </w:r>
        <w:r w:rsidR="00F64633">
          <w:rPr>
            <w:noProof/>
            <w:webHidden/>
          </w:rPr>
        </w:r>
        <w:r w:rsidR="00F64633">
          <w:rPr>
            <w:noProof/>
            <w:webHidden/>
          </w:rPr>
          <w:fldChar w:fldCharType="separate"/>
        </w:r>
        <w:r w:rsidR="00E57392">
          <w:rPr>
            <w:noProof/>
            <w:webHidden/>
          </w:rPr>
          <w:t>2</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88" w:history="1">
        <w:r w:rsidR="00F64633" w:rsidRPr="002F7273">
          <w:rPr>
            <w:rStyle w:val="Hyperlink"/>
            <w:noProof/>
          </w:rPr>
          <w:t>Disability</w:t>
        </w:r>
        <w:r w:rsidR="00F64633">
          <w:rPr>
            <w:noProof/>
            <w:webHidden/>
          </w:rPr>
          <w:tab/>
        </w:r>
        <w:r w:rsidR="00F64633">
          <w:rPr>
            <w:noProof/>
            <w:webHidden/>
          </w:rPr>
          <w:fldChar w:fldCharType="begin"/>
        </w:r>
        <w:r w:rsidR="00F64633">
          <w:rPr>
            <w:noProof/>
            <w:webHidden/>
          </w:rPr>
          <w:instrText xml:space="preserve"> PAGEREF _Toc361342888 \h </w:instrText>
        </w:r>
        <w:r w:rsidR="00F64633">
          <w:rPr>
            <w:noProof/>
            <w:webHidden/>
          </w:rPr>
        </w:r>
        <w:r w:rsidR="00F64633">
          <w:rPr>
            <w:noProof/>
            <w:webHidden/>
          </w:rPr>
          <w:fldChar w:fldCharType="separate"/>
        </w:r>
        <w:r w:rsidR="00E57392">
          <w:rPr>
            <w:noProof/>
            <w:webHidden/>
          </w:rPr>
          <w:t>3</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89" w:history="1">
        <w:r w:rsidR="00F64633" w:rsidRPr="002F7273">
          <w:rPr>
            <w:rStyle w:val="Hyperlink"/>
            <w:noProof/>
          </w:rPr>
          <w:t>Low Income and ‘Poverty’</w:t>
        </w:r>
        <w:r w:rsidR="00F64633">
          <w:rPr>
            <w:noProof/>
            <w:webHidden/>
          </w:rPr>
          <w:tab/>
        </w:r>
        <w:r w:rsidR="00F64633">
          <w:rPr>
            <w:noProof/>
            <w:webHidden/>
          </w:rPr>
          <w:fldChar w:fldCharType="begin"/>
        </w:r>
        <w:r w:rsidR="00F64633">
          <w:rPr>
            <w:noProof/>
            <w:webHidden/>
          </w:rPr>
          <w:instrText xml:space="preserve"> PAGEREF _Toc361342889 \h </w:instrText>
        </w:r>
        <w:r w:rsidR="00F64633">
          <w:rPr>
            <w:noProof/>
            <w:webHidden/>
          </w:rPr>
        </w:r>
        <w:r w:rsidR="00F64633">
          <w:rPr>
            <w:noProof/>
            <w:webHidden/>
          </w:rPr>
          <w:fldChar w:fldCharType="separate"/>
        </w:r>
        <w:r w:rsidR="00E57392">
          <w:rPr>
            <w:noProof/>
            <w:webHidden/>
          </w:rPr>
          <w:t>3</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0" w:history="1">
        <w:r w:rsidR="00F64633" w:rsidRPr="002F7273">
          <w:rPr>
            <w:rStyle w:val="Hyperlink"/>
            <w:noProof/>
          </w:rPr>
          <w:t>Average Personal vs. Household Income</w:t>
        </w:r>
        <w:r w:rsidR="00F64633">
          <w:rPr>
            <w:noProof/>
            <w:webHidden/>
          </w:rPr>
          <w:tab/>
        </w:r>
        <w:r w:rsidR="00F64633">
          <w:rPr>
            <w:noProof/>
            <w:webHidden/>
          </w:rPr>
          <w:fldChar w:fldCharType="begin"/>
        </w:r>
        <w:r w:rsidR="00F64633">
          <w:rPr>
            <w:noProof/>
            <w:webHidden/>
          </w:rPr>
          <w:instrText xml:space="preserve"> PAGEREF _Toc361342890 \h </w:instrText>
        </w:r>
        <w:r w:rsidR="00F64633">
          <w:rPr>
            <w:noProof/>
            <w:webHidden/>
          </w:rPr>
        </w:r>
        <w:r w:rsidR="00F64633">
          <w:rPr>
            <w:noProof/>
            <w:webHidden/>
          </w:rPr>
          <w:fldChar w:fldCharType="separate"/>
        </w:r>
        <w:r w:rsidR="00E57392">
          <w:rPr>
            <w:noProof/>
            <w:webHidden/>
          </w:rPr>
          <w:t>4</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1" w:history="1">
        <w:r w:rsidR="00F64633" w:rsidRPr="002F7273">
          <w:rPr>
            <w:rStyle w:val="Hyperlink"/>
            <w:noProof/>
          </w:rPr>
          <w:t>Income Sources</w:t>
        </w:r>
        <w:r w:rsidR="00F64633">
          <w:rPr>
            <w:noProof/>
            <w:webHidden/>
          </w:rPr>
          <w:tab/>
        </w:r>
        <w:r w:rsidR="00F64633">
          <w:rPr>
            <w:noProof/>
            <w:webHidden/>
          </w:rPr>
          <w:fldChar w:fldCharType="begin"/>
        </w:r>
        <w:r w:rsidR="00F64633">
          <w:rPr>
            <w:noProof/>
            <w:webHidden/>
          </w:rPr>
          <w:instrText xml:space="preserve"> PAGEREF _Toc361342891 \h </w:instrText>
        </w:r>
        <w:r w:rsidR="00F64633">
          <w:rPr>
            <w:noProof/>
            <w:webHidden/>
          </w:rPr>
        </w:r>
        <w:r w:rsidR="00F64633">
          <w:rPr>
            <w:noProof/>
            <w:webHidden/>
          </w:rPr>
          <w:fldChar w:fldCharType="separate"/>
        </w:r>
        <w:r w:rsidR="00E57392">
          <w:rPr>
            <w:noProof/>
            <w:webHidden/>
          </w:rPr>
          <w:t>4</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2" w:history="1">
        <w:r w:rsidR="00F64633" w:rsidRPr="002F7273">
          <w:rPr>
            <w:rStyle w:val="Hyperlink"/>
            <w:noProof/>
          </w:rPr>
          <w:t>Two Recurring Comparison Groups</w:t>
        </w:r>
        <w:r w:rsidR="00F64633">
          <w:rPr>
            <w:noProof/>
            <w:webHidden/>
          </w:rPr>
          <w:tab/>
        </w:r>
        <w:r w:rsidR="00F64633">
          <w:rPr>
            <w:noProof/>
            <w:webHidden/>
          </w:rPr>
          <w:fldChar w:fldCharType="begin"/>
        </w:r>
        <w:r w:rsidR="00F64633">
          <w:rPr>
            <w:noProof/>
            <w:webHidden/>
          </w:rPr>
          <w:instrText xml:space="preserve"> PAGEREF _Toc361342892 \h </w:instrText>
        </w:r>
        <w:r w:rsidR="00F64633">
          <w:rPr>
            <w:noProof/>
            <w:webHidden/>
          </w:rPr>
        </w:r>
        <w:r w:rsidR="00F64633">
          <w:rPr>
            <w:noProof/>
            <w:webHidden/>
          </w:rPr>
          <w:fldChar w:fldCharType="separate"/>
        </w:r>
        <w:r w:rsidR="00E57392">
          <w:rPr>
            <w:noProof/>
            <w:webHidden/>
          </w:rPr>
          <w:t>6</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3" w:history="1">
        <w:r w:rsidR="00F64633" w:rsidRPr="002F7273">
          <w:rPr>
            <w:rStyle w:val="Hyperlink"/>
            <w:noProof/>
          </w:rPr>
          <w:t>Age Groupings</w:t>
        </w:r>
        <w:r w:rsidR="00F64633">
          <w:rPr>
            <w:noProof/>
            <w:webHidden/>
          </w:rPr>
          <w:tab/>
        </w:r>
        <w:r w:rsidR="00F64633">
          <w:rPr>
            <w:noProof/>
            <w:webHidden/>
          </w:rPr>
          <w:fldChar w:fldCharType="begin"/>
        </w:r>
        <w:r w:rsidR="00F64633">
          <w:rPr>
            <w:noProof/>
            <w:webHidden/>
          </w:rPr>
          <w:instrText xml:space="preserve"> PAGEREF _Toc361342893 \h </w:instrText>
        </w:r>
        <w:r w:rsidR="00F64633">
          <w:rPr>
            <w:noProof/>
            <w:webHidden/>
          </w:rPr>
        </w:r>
        <w:r w:rsidR="00F64633">
          <w:rPr>
            <w:noProof/>
            <w:webHidden/>
          </w:rPr>
          <w:fldChar w:fldCharType="separate"/>
        </w:r>
        <w:r w:rsidR="00E57392">
          <w:rPr>
            <w:noProof/>
            <w:webHidden/>
          </w:rPr>
          <w:t>6</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4" w:history="1">
        <w:r w:rsidR="00F64633" w:rsidRPr="002F7273">
          <w:rPr>
            <w:rStyle w:val="Hyperlink"/>
            <w:noProof/>
          </w:rPr>
          <w:t>Provincial Focus</w:t>
        </w:r>
        <w:r w:rsidR="00F64633">
          <w:rPr>
            <w:noProof/>
            <w:webHidden/>
          </w:rPr>
          <w:tab/>
        </w:r>
        <w:r w:rsidR="00F64633">
          <w:rPr>
            <w:noProof/>
            <w:webHidden/>
          </w:rPr>
          <w:fldChar w:fldCharType="begin"/>
        </w:r>
        <w:r w:rsidR="00F64633">
          <w:rPr>
            <w:noProof/>
            <w:webHidden/>
          </w:rPr>
          <w:instrText xml:space="preserve"> PAGEREF _Toc361342894 \h </w:instrText>
        </w:r>
        <w:r w:rsidR="00F64633">
          <w:rPr>
            <w:noProof/>
            <w:webHidden/>
          </w:rPr>
        </w:r>
        <w:r w:rsidR="00F64633">
          <w:rPr>
            <w:noProof/>
            <w:webHidden/>
          </w:rPr>
          <w:fldChar w:fldCharType="separate"/>
        </w:r>
        <w:r w:rsidR="00E57392">
          <w:rPr>
            <w:noProof/>
            <w:webHidden/>
          </w:rPr>
          <w:t>7</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5" w:history="1">
        <w:r w:rsidR="00F64633" w:rsidRPr="002F7273">
          <w:rPr>
            <w:rStyle w:val="Hyperlink"/>
            <w:noProof/>
          </w:rPr>
          <w:t>Data Limitations, Suppressions and Cautions</w:t>
        </w:r>
        <w:r w:rsidR="00F64633">
          <w:rPr>
            <w:noProof/>
            <w:webHidden/>
          </w:rPr>
          <w:tab/>
        </w:r>
        <w:r w:rsidR="00F64633">
          <w:rPr>
            <w:noProof/>
            <w:webHidden/>
          </w:rPr>
          <w:fldChar w:fldCharType="begin"/>
        </w:r>
        <w:r w:rsidR="00F64633">
          <w:rPr>
            <w:noProof/>
            <w:webHidden/>
          </w:rPr>
          <w:instrText xml:space="preserve"> PAGEREF _Toc361342895 \h </w:instrText>
        </w:r>
        <w:r w:rsidR="00F64633">
          <w:rPr>
            <w:noProof/>
            <w:webHidden/>
          </w:rPr>
        </w:r>
        <w:r w:rsidR="00F64633">
          <w:rPr>
            <w:noProof/>
            <w:webHidden/>
          </w:rPr>
          <w:fldChar w:fldCharType="separate"/>
        </w:r>
        <w:r w:rsidR="00E57392">
          <w:rPr>
            <w:noProof/>
            <w:webHidden/>
          </w:rPr>
          <w:t>7</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896" w:history="1">
        <w:r w:rsidR="00F64633" w:rsidRPr="002F7273">
          <w:rPr>
            <w:rStyle w:val="Hyperlink"/>
            <w:noProof/>
          </w:rPr>
          <w:t>Key Findings</w:t>
        </w:r>
        <w:r w:rsidR="00F64633">
          <w:rPr>
            <w:noProof/>
            <w:webHidden/>
          </w:rPr>
          <w:tab/>
        </w:r>
        <w:r w:rsidR="00F64633">
          <w:rPr>
            <w:noProof/>
            <w:webHidden/>
          </w:rPr>
          <w:fldChar w:fldCharType="begin"/>
        </w:r>
        <w:r w:rsidR="00F64633">
          <w:rPr>
            <w:noProof/>
            <w:webHidden/>
          </w:rPr>
          <w:instrText xml:space="preserve"> PAGEREF _Toc361342896 \h </w:instrText>
        </w:r>
        <w:r w:rsidR="00F64633">
          <w:rPr>
            <w:noProof/>
            <w:webHidden/>
          </w:rPr>
        </w:r>
        <w:r w:rsidR="00F64633">
          <w:rPr>
            <w:noProof/>
            <w:webHidden/>
          </w:rPr>
          <w:fldChar w:fldCharType="separate"/>
        </w:r>
        <w:r w:rsidR="00E57392">
          <w:rPr>
            <w:noProof/>
            <w:webHidden/>
          </w:rPr>
          <w:t>9</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897" w:history="1">
        <w:r w:rsidR="00F64633" w:rsidRPr="002F7273">
          <w:rPr>
            <w:rStyle w:val="Hyperlink"/>
            <w:noProof/>
          </w:rPr>
          <w:t>Low Income and Province (Working-Age People)</w:t>
        </w:r>
        <w:r w:rsidR="00F64633">
          <w:rPr>
            <w:noProof/>
            <w:webHidden/>
          </w:rPr>
          <w:tab/>
        </w:r>
        <w:r w:rsidR="00F64633">
          <w:rPr>
            <w:noProof/>
            <w:webHidden/>
          </w:rPr>
          <w:fldChar w:fldCharType="begin"/>
        </w:r>
        <w:r w:rsidR="00F64633">
          <w:rPr>
            <w:noProof/>
            <w:webHidden/>
          </w:rPr>
          <w:instrText xml:space="preserve"> PAGEREF _Toc361342897 \h </w:instrText>
        </w:r>
        <w:r w:rsidR="00F64633">
          <w:rPr>
            <w:noProof/>
            <w:webHidden/>
          </w:rPr>
        </w:r>
        <w:r w:rsidR="00F64633">
          <w:rPr>
            <w:noProof/>
            <w:webHidden/>
          </w:rPr>
          <w:fldChar w:fldCharType="separate"/>
        </w:r>
        <w:r w:rsidR="00E57392">
          <w:rPr>
            <w:noProof/>
            <w:webHidden/>
          </w:rPr>
          <w:t>9</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898" w:history="1">
        <w:r w:rsidR="00F64633" w:rsidRPr="002F7273">
          <w:rPr>
            <w:rStyle w:val="Hyperlink"/>
            <w:noProof/>
          </w:rPr>
          <w:t>Background Statistics</w:t>
        </w:r>
        <w:r w:rsidR="00F64633">
          <w:rPr>
            <w:noProof/>
            <w:webHidden/>
          </w:rPr>
          <w:tab/>
        </w:r>
        <w:r w:rsidR="00F64633">
          <w:rPr>
            <w:noProof/>
            <w:webHidden/>
          </w:rPr>
          <w:fldChar w:fldCharType="begin"/>
        </w:r>
        <w:r w:rsidR="00F64633">
          <w:rPr>
            <w:noProof/>
            <w:webHidden/>
          </w:rPr>
          <w:instrText xml:space="preserve"> PAGEREF _Toc361342898 \h </w:instrText>
        </w:r>
        <w:r w:rsidR="00F64633">
          <w:rPr>
            <w:noProof/>
            <w:webHidden/>
          </w:rPr>
        </w:r>
        <w:r w:rsidR="00F64633">
          <w:rPr>
            <w:noProof/>
            <w:webHidden/>
          </w:rPr>
          <w:fldChar w:fldCharType="separate"/>
        </w:r>
        <w:r w:rsidR="00E57392">
          <w:rPr>
            <w:noProof/>
            <w:webHidden/>
          </w:rPr>
          <w:t>10</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899" w:history="1">
        <w:r w:rsidR="00F64633" w:rsidRPr="002F7273">
          <w:rPr>
            <w:rStyle w:val="Hyperlink"/>
            <w:noProof/>
          </w:rPr>
          <w:t>... Poor People with Disabilities</w:t>
        </w:r>
        <w:r w:rsidR="00F64633">
          <w:rPr>
            <w:noProof/>
            <w:webHidden/>
          </w:rPr>
          <w:tab/>
        </w:r>
        <w:r w:rsidR="00F64633">
          <w:rPr>
            <w:noProof/>
            <w:webHidden/>
          </w:rPr>
          <w:fldChar w:fldCharType="begin"/>
        </w:r>
        <w:r w:rsidR="00F64633">
          <w:rPr>
            <w:noProof/>
            <w:webHidden/>
          </w:rPr>
          <w:instrText xml:space="preserve"> PAGEREF _Toc361342899 \h </w:instrText>
        </w:r>
        <w:r w:rsidR="00F64633">
          <w:rPr>
            <w:noProof/>
            <w:webHidden/>
          </w:rPr>
        </w:r>
        <w:r w:rsidR="00F64633">
          <w:rPr>
            <w:noProof/>
            <w:webHidden/>
          </w:rPr>
          <w:fldChar w:fldCharType="separate"/>
        </w:r>
        <w:r w:rsidR="00E57392">
          <w:rPr>
            <w:noProof/>
            <w:webHidden/>
          </w:rPr>
          <w:t>13</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0" w:history="1">
        <w:r w:rsidR="00F64633" w:rsidRPr="002F7273">
          <w:rPr>
            <w:rStyle w:val="Hyperlink"/>
            <w:noProof/>
          </w:rPr>
          <w:t>... Poor People without Disabilities</w:t>
        </w:r>
        <w:r w:rsidR="00F64633">
          <w:rPr>
            <w:noProof/>
            <w:webHidden/>
          </w:rPr>
          <w:tab/>
        </w:r>
        <w:r w:rsidR="00F64633">
          <w:rPr>
            <w:noProof/>
            <w:webHidden/>
          </w:rPr>
          <w:fldChar w:fldCharType="begin"/>
        </w:r>
        <w:r w:rsidR="00F64633">
          <w:rPr>
            <w:noProof/>
            <w:webHidden/>
          </w:rPr>
          <w:instrText xml:space="preserve"> PAGEREF _Toc361342900 \h </w:instrText>
        </w:r>
        <w:r w:rsidR="00F64633">
          <w:rPr>
            <w:noProof/>
            <w:webHidden/>
          </w:rPr>
        </w:r>
        <w:r w:rsidR="00F64633">
          <w:rPr>
            <w:noProof/>
            <w:webHidden/>
          </w:rPr>
          <w:fldChar w:fldCharType="separate"/>
        </w:r>
        <w:r w:rsidR="00E57392">
          <w:rPr>
            <w:noProof/>
            <w:webHidden/>
          </w:rPr>
          <w:t>15</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1" w:history="1">
        <w:r w:rsidR="00F64633" w:rsidRPr="002F7273">
          <w:rPr>
            <w:rStyle w:val="Hyperlink"/>
            <w:noProof/>
          </w:rPr>
          <w:t>… Some Things in Common</w:t>
        </w:r>
        <w:r w:rsidR="00F64633">
          <w:rPr>
            <w:noProof/>
            <w:webHidden/>
          </w:rPr>
          <w:tab/>
        </w:r>
        <w:r w:rsidR="00F64633">
          <w:rPr>
            <w:noProof/>
            <w:webHidden/>
          </w:rPr>
          <w:fldChar w:fldCharType="begin"/>
        </w:r>
        <w:r w:rsidR="00F64633">
          <w:rPr>
            <w:noProof/>
            <w:webHidden/>
          </w:rPr>
          <w:instrText xml:space="preserve"> PAGEREF _Toc361342901 \h </w:instrText>
        </w:r>
        <w:r w:rsidR="00F64633">
          <w:rPr>
            <w:noProof/>
            <w:webHidden/>
          </w:rPr>
        </w:r>
        <w:r w:rsidR="00F64633">
          <w:rPr>
            <w:noProof/>
            <w:webHidden/>
          </w:rPr>
          <w:fldChar w:fldCharType="separate"/>
        </w:r>
        <w:r w:rsidR="00E57392">
          <w:rPr>
            <w:noProof/>
            <w:webHidden/>
          </w:rPr>
          <w:t>17</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2" w:history="1">
        <w:r w:rsidR="00F64633" w:rsidRPr="002F7273">
          <w:rPr>
            <w:rStyle w:val="Hyperlink"/>
            <w:noProof/>
          </w:rPr>
          <w:t>… Some Ways People with Disabilities Stand Out</w:t>
        </w:r>
        <w:r w:rsidR="00F64633">
          <w:rPr>
            <w:noProof/>
            <w:webHidden/>
          </w:rPr>
          <w:tab/>
        </w:r>
        <w:r w:rsidR="00F64633">
          <w:rPr>
            <w:noProof/>
            <w:webHidden/>
          </w:rPr>
          <w:fldChar w:fldCharType="begin"/>
        </w:r>
        <w:r w:rsidR="00F64633">
          <w:rPr>
            <w:noProof/>
            <w:webHidden/>
          </w:rPr>
          <w:instrText xml:space="preserve"> PAGEREF _Toc361342902 \h </w:instrText>
        </w:r>
        <w:r w:rsidR="00F64633">
          <w:rPr>
            <w:noProof/>
            <w:webHidden/>
          </w:rPr>
        </w:r>
        <w:r w:rsidR="00F64633">
          <w:rPr>
            <w:noProof/>
            <w:webHidden/>
          </w:rPr>
          <w:fldChar w:fldCharType="separate"/>
        </w:r>
        <w:r w:rsidR="00E57392">
          <w:rPr>
            <w:noProof/>
            <w:webHidden/>
          </w:rPr>
          <w:t>18</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903" w:history="1">
        <w:r w:rsidR="00F64633" w:rsidRPr="002F7273">
          <w:rPr>
            <w:rStyle w:val="Hyperlink"/>
            <w:noProof/>
          </w:rPr>
          <w:t>Low Income and Living Arrangements (Working-Age People)</w:t>
        </w:r>
        <w:r w:rsidR="00F64633">
          <w:rPr>
            <w:noProof/>
            <w:webHidden/>
          </w:rPr>
          <w:tab/>
        </w:r>
        <w:r w:rsidR="00F64633">
          <w:rPr>
            <w:noProof/>
            <w:webHidden/>
          </w:rPr>
          <w:fldChar w:fldCharType="begin"/>
        </w:r>
        <w:r w:rsidR="00F64633">
          <w:rPr>
            <w:noProof/>
            <w:webHidden/>
          </w:rPr>
          <w:instrText xml:space="preserve"> PAGEREF _Toc361342903 \h </w:instrText>
        </w:r>
        <w:r w:rsidR="00F64633">
          <w:rPr>
            <w:noProof/>
            <w:webHidden/>
          </w:rPr>
        </w:r>
        <w:r w:rsidR="00F64633">
          <w:rPr>
            <w:noProof/>
            <w:webHidden/>
          </w:rPr>
          <w:fldChar w:fldCharType="separate"/>
        </w:r>
        <w:r w:rsidR="00E57392">
          <w:rPr>
            <w:noProof/>
            <w:webHidden/>
          </w:rPr>
          <w:t>19</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4" w:history="1">
        <w:r w:rsidR="00F64633" w:rsidRPr="002F7273">
          <w:rPr>
            <w:rStyle w:val="Hyperlink"/>
            <w:noProof/>
          </w:rPr>
          <w:t>Background Statistics</w:t>
        </w:r>
        <w:r w:rsidR="00F64633">
          <w:rPr>
            <w:noProof/>
            <w:webHidden/>
          </w:rPr>
          <w:tab/>
        </w:r>
        <w:r w:rsidR="00F64633">
          <w:rPr>
            <w:noProof/>
            <w:webHidden/>
          </w:rPr>
          <w:fldChar w:fldCharType="begin"/>
        </w:r>
        <w:r w:rsidR="00F64633">
          <w:rPr>
            <w:noProof/>
            <w:webHidden/>
          </w:rPr>
          <w:instrText xml:space="preserve"> PAGEREF _Toc361342904 \h </w:instrText>
        </w:r>
        <w:r w:rsidR="00F64633">
          <w:rPr>
            <w:noProof/>
            <w:webHidden/>
          </w:rPr>
        </w:r>
        <w:r w:rsidR="00F64633">
          <w:rPr>
            <w:noProof/>
            <w:webHidden/>
          </w:rPr>
          <w:fldChar w:fldCharType="separate"/>
        </w:r>
        <w:r w:rsidR="00E57392">
          <w:rPr>
            <w:noProof/>
            <w:webHidden/>
          </w:rPr>
          <w:t>20</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5" w:history="1">
        <w:r w:rsidR="00F64633" w:rsidRPr="002F7273">
          <w:rPr>
            <w:rStyle w:val="Hyperlink"/>
            <w:noProof/>
          </w:rPr>
          <w:t>... Poor People with Disabilities</w:t>
        </w:r>
        <w:r w:rsidR="00F64633">
          <w:rPr>
            <w:noProof/>
            <w:webHidden/>
          </w:rPr>
          <w:tab/>
        </w:r>
        <w:r w:rsidR="00F64633">
          <w:rPr>
            <w:noProof/>
            <w:webHidden/>
          </w:rPr>
          <w:fldChar w:fldCharType="begin"/>
        </w:r>
        <w:r w:rsidR="00F64633">
          <w:rPr>
            <w:noProof/>
            <w:webHidden/>
          </w:rPr>
          <w:instrText xml:space="preserve"> PAGEREF _Toc361342905 \h </w:instrText>
        </w:r>
        <w:r w:rsidR="00F64633">
          <w:rPr>
            <w:noProof/>
            <w:webHidden/>
          </w:rPr>
        </w:r>
        <w:r w:rsidR="00F64633">
          <w:rPr>
            <w:noProof/>
            <w:webHidden/>
          </w:rPr>
          <w:fldChar w:fldCharType="separate"/>
        </w:r>
        <w:r w:rsidR="00E57392">
          <w:rPr>
            <w:noProof/>
            <w:webHidden/>
          </w:rPr>
          <w:t>20</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6" w:history="1">
        <w:r w:rsidR="00F64633" w:rsidRPr="002F7273">
          <w:rPr>
            <w:rStyle w:val="Hyperlink"/>
            <w:noProof/>
          </w:rPr>
          <w:t>... Poor People without Disabilities</w:t>
        </w:r>
        <w:r w:rsidR="00F64633">
          <w:rPr>
            <w:noProof/>
            <w:webHidden/>
          </w:rPr>
          <w:tab/>
        </w:r>
        <w:r w:rsidR="00F64633">
          <w:rPr>
            <w:noProof/>
            <w:webHidden/>
          </w:rPr>
          <w:fldChar w:fldCharType="begin"/>
        </w:r>
        <w:r w:rsidR="00F64633">
          <w:rPr>
            <w:noProof/>
            <w:webHidden/>
          </w:rPr>
          <w:instrText xml:space="preserve"> PAGEREF _Toc361342906 \h </w:instrText>
        </w:r>
        <w:r w:rsidR="00F64633">
          <w:rPr>
            <w:noProof/>
            <w:webHidden/>
          </w:rPr>
        </w:r>
        <w:r w:rsidR="00F64633">
          <w:rPr>
            <w:noProof/>
            <w:webHidden/>
          </w:rPr>
          <w:fldChar w:fldCharType="separate"/>
        </w:r>
        <w:r w:rsidR="00E57392">
          <w:rPr>
            <w:noProof/>
            <w:webHidden/>
          </w:rPr>
          <w:t>23</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7" w:history="1">
        <w:r w:rsidR="00F64633" w:rsidRPr="002F7273">
          <w:rPr>
            <w:rStyle w:val="Hyperlink"/>
            <w:noProof/>
          </w:rPr>
          <w:t>… Some Things in Common</w:t>
        </w:r>
        <w:r w:rsidR="00F64633">
          <w:rPr>
            <w:noProof/>
            <w:webHidden/>
          </w:rPr>
          <w:tab/>
        </w:r>
        <w:r w:rsidR="00F64633">
          <w:rPr>
            <w:noProof/>
            <w:webHidden/>
          </w:rPr>
          <w:fldChar w:fldCharType="begin"/>
        </w:r>
        <w:r w:rsidR="00F64633">
          <w:rPr>
            <w:noProof/>
            <w:webHidden/>
          </w:rPr>
          <w:instrText xml:space="preserve"> PAGEREF _Toc361342907 \h </w:instrText>
        </w:r>
        <w:r w:rsidR="00F64633">
          <w:rPr>
            <w:noProof/>
            <w:webHidden/>
          </w:rPr>
        </w:r>
        <w:r w:rsidR="00F64633">
          <w:rPr>
            <w:noProof/>
            <w:webHidden/>
          </w:rPr>
          <w:fldChar w:fldCharType="separate"/>
        </w:r>
        <w:r w:rsidR="00E57392">
          <w:rPr>
            <w:noProof/>
            <w:webHidden/>
          </w:rPr>
          <w:t>25</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08" w:history="1">
        <w:r w:rsidR="00F64633" w:rsidRPr="002F7273">
          <w:rPr>
            <w:rStyle w:val="Hyperlink"/>
            <w:noProof/>
          </w:rPr>
          <w:t>… Some Ways People with Disabilities Stand Out</w:t>
        </w:r>
        <w:r w:rsidR="00F64633">
          <w:rPr>
            <w:noProof/>
            <w:webHidden/>
          </w:rPr>
          <w:tab/>
        </w:r>
        <w:r w:rsidR="00F64633">
          <w:rPr>
            <w:noProof/>
            <w:webHidden/>
          </w:rPr>
          <w:fldChar w:fldCharType="begin"/>
        </w:r>
        <w:r w:rsidR="00F64633">
          <w:rPr>
            <w:noProof/>
            <w:webHidden/>
          </w:rPr>
          <w:instrText xml:space="preserve"> PAGEREF _Toc361342908 \h </w:instrText>
        </w:r>
        <w:r w:rsidR="00F64633">
          <w:rPr>
            <w:noProof/>
            <w:webHidden/>
          </w:rPr>
        </w:r>
        <w:r w:rsidR="00F64633">
          <w:rPr>
            <w:noProof/>
            <w:webHidden/>
          </w:rPr>
          <w:fldChar w:fldCharType="separate"/>
        </w:r>
        <w:r w:rsidR="00E57392">
          <w:rPr>
            <w:noProof/>
            <w:webHidden/>
          </w:rPr>
          <w:t>27</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909" w:history="1">
        <w:r w:rsidR="00F64633" w:rsidRPr="002F7273">
          <w:rPr>
            <w:rStyle w:val="Hyperlink"/>
            <w:noProof/>
          </w:rPr>
          <w:t>Low Income, Gender and Age</w:t>
        </w:r>
        <w:r w:rsidR="00F64633">
          <w:rPr>
            <w:noProof/>
            <w:webHidden/>
          </w:rPr>
          <w:tab/>
        </w:r>
        <w:r w:rsidR="00F64633">
          <w:rPr>
            <w:noProof/>
            <w:webHidden/>
          </w:rPr>
          <w:fldChar w:fldCharType="begin"/>
        </w:r>
        <w:r w:rsidR="00F64633">
          <w:rPr>
            <w:noProof/>
            <w:webHidden/>
          </w:rPr>
          <w:instrText xml:space="preserve"> PAGEREF _Toc361342909 \h </w:instrText>
        </w:r>
        <w:r w:rsidR="00F64633">
          <w:rPr>
            <w:noProof/>
            <w:webHidden/>
          </w:rPr>
        </w:r>
        <w:r w:rsidR="00F64633">
          <w:rPr>
            <w:noProof/>
            <w:webHidden/>
          </w:rPr>
          <w:fldChar w:fldCharType="separate"/>
        </w:r>
        <w:r w:rsidR="00E57392">
          <w:rPr>
            <w:noProof/>
            <w:webHidden/>
          </w:rPr>
          <w:t>28</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0" w:history="1">
        <w:r w:rsidR="00F64633" w:rsidRPr="002F7273">
          <w:rPr>
            <w:rStyle w:val="Hyperlink"/>
            <w:noProof/>
          </w:rPr>
          <w:t>Background Statistics</w:t>
        </w:r>
        <w:r w:rsidR="00F64633">
          <w:rPr>
            <w:noProof/>
            <w:webHidden/>
          </w:rPr>
          <w:tab/>
        </w:r>
        <w:r w:rsidR="00F64633">
          <w:rPr>
            <w:noProof/>
            <w:webHidden/>
          </w:rPr>
          <w:fldChar w:fldCharType="begin"/>
        </w:r>
        <w:r w:rsidR="00F64633">
          <w:rPr>
            <w:noProof/>
            <w:webHidden/>
          </w:rPr>
          <w:instrText xml:space="preserve"> PAGEREF _Toc361342910 \h </w:instrText>
        </w:r>
        <w:r w:rsidR="00F64633">
          <w:rPr>
            <w:noProof/>
            <w:webHidden/>
          </w:rPr>
        </w:r>
        <w:r w:rsidR="00F64633">
          <w:rPr>
            <w:noProof/>
            <w:webHidden/>
          </w:rPr>
          <w:fldChar w:fldCharType="separate"/>
        </w:r>
        <w:r w:rsidR="00E57392">
          <w:rPr>
            <w:noProof/>
            <w:webHidden/>
          </w:rPr>
          <w:t>28</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1" w:history="1">
        <w:r w:rsidR="00F64633" w:rsidRPr="002F7273">
          <w:rPr>
            <w:rStyle w:val="Hyperlink"/>
            <w:noProof/>
          </w:rPr>
          <w:t>Poor Men and Women Overall</w:t>
        </w:r>
        <w:r w:rsidR="00F64633">
          <w:rPr>
            <w:noProof/>
            <w:webHidden/>
          </w:rPr>
          <w:tab/>
        </w:r>
        <w:r w:rsidR="00F64633">
          <w:rPr>
            <w:noProof/>
            <w:webHidden/>
          </w:rPr>
          <w:fldChar w:fldCharType="begin"/>
        </w:r>
        <w:r w:rsidR="00F64633">
          <w:rPr>
            <w:noProof/>
            <w:webHidden/>
          </w:rPr>
          <w:instrText xml:space="preserve"> PAGEREF _Toc361342911 \h </w:instrText>
        </w:r>
        <w:r w:rsidR="00F64633">
          <w:rPr>
            <w:noProof/>
            <w:webHidden/>
          </w:rPr>
        </w:r>
        <w:r w:rsidR="00F64633">
          <w:rPr>
            <w:noProof/>
            <w:webHidden/>
          </w:rPr>
          <w:fldChar w:fldCharType="separate"/>
        </w:r>
        <w:r w:rsidR="00E57392">
          <w:rPr>
            <w:noProof/>
            <w:webHidden/>
          </w:rPr>
          <w:t>31</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2" w:history="1">
        <w:r w:rsidR="00F64633" w:rsidRPr="002F7273">
          <w:rPr>
            <w:rStyle w:val="Hyperlink"/>
            <w:noProof/>
          </w:rPr>
          <w:t>... Poor Working-Age People with Disabilities</w:t>
        </w:r>
        <w:r w:rsidR="00F64633">
          <w:rPr>
            <w:noProof/>
            <w:webHidden/>
          </w:rPr>
          <w:tab/>
        </w:r>
        <w:r w:rsidR="00F64633">
          <w:rPr>
            <w:noProof/>
            <w:webHidden/>
          </w:rPr>
          <w:fldChar w:fldCharType="begin"/>
        </w:r>
        <w:r w:rsidR="00F64633">
          <w:rPr>
            <w:noProof/>
            <w:webHidden/>
          </w:rPr>
          <w:instrText xml:space="preserve"> PAGEREF _Toc361342912 \h </w:instrText>
        </w:r>
        <w:r w:rsidR="00F64633">
          <w:rPr>
            <w:noProof/>
            <w:webHidden/>
          </w:rPr>
        </w:r>
        <w:r w:rsidR="00F64633">
          <w:rPr>
            <w:noProof/>
            <w:webHidden/>
          </w:rPr>
          <w:fldChar w:fldCharType="separate"/>
        </w:r>
        <w:r w:rsidR="00E57392">
          <w:rPr>
            <w:noProof/>
            <w:webHidden/>
          </w:rPr>
          <w:t>32</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3" w:history="1">
        <w:r w:rsidR="00F64633" w:rsidRPr="002F7273">
          <w:rPr>
            <w:rStyle w:val="Hyperlink"/>
            <w:noProof/>
          </w:rPr>
          <w:t>... Poor Working-Age People without Disabilities</w:t>
        </w:r>
        <w:r w:rsidR="00F64633">
          <w:rPr>
            <w:noProof/>
            <w:webHidden/>
          </w:rPr>
          <w:tab/>
        </w:r>
        <w:r w:rsidR="00F64633">
          <w:rPr>
            <w:noProof/>
            <w:webHidden/>
          </w:rPr>
          <w:fldChar w:fldCharType="begin"/>
        </w:r>
        <w:r w:rsidR="00F64633">
          <w:rPr>
            <w:noProof/>
            <w:webHidden/>
          </w:rPr>
          <w:instrText xml:space="preserve"> PAGEREF _Toc361342913 \h </w:instrText>
        </w:r>
        <w:r w:rsidR="00F64633">
          <w:rPr>
            <w:noProof/>
            <w:webHidden/>
          </w:rPr>
        </w:r>
        <w:r w:rsidR="00F64633">
          <w:rPr>
            <w:noProof/>
            <w:webHidden/>
          </w:rPr>
          <w:fldChar w:fldCharType="separate"/>
        </w:r>
        <w:r w:rsidR="00E57392">
          <w:rPr>
            <w:noProof/>
            <w:webHidden/>
          </w:rPr>
          <w:t>33</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4" w:history="1">
        <w:r w:rsidR="00F64633" w:rsidRPr="002F7273">
          <w:rPr>
            <w:rStyle w:val="Hyperlink"/>
            <w:noProof/>
          </w:rPr>
          <w:t>... Poor Seniors with Disabilities</w:t>
        </w:r>
        <w:r w:rsidR="00F64633">
          <w:rPr>
            <w:noProof/>
            <w:webHidden/>
          </w:rPr>
          <w:tab/>
        </w:r>
        <w:r w:rsidR="00F64633">
          <w:rPr>
            <w:noProof/>
            <w:webHidden/>
          </w:rPr>
          <w:fldChar w:fldCharType="begin"/>
        </w:r>
        <w:r w:rsidR="00F64633">
          <w:rPr>
            <w:noProof/>
            <w:webHidden/>
          </w:rPr>
          <w:instrText xml:space="preserve"> PAGEREF _Toc361342914 \h </w:instrText>
        </w:r>
        <w:r w:rsidR="00F64633">
          <w:rPr>
            <w:noProof/>
            <w:webHidden/>
          </w:rPr>
        </w:r>
        <w:r w:rsidR="00F64633">
          <w:rPr>
            <w:noProof/>
            <w:webHidden/>
          </w:rPr>
          <w:fldChar w:fldCharType="separate"/>
        </w:r>
        <w:r w:rsidR="00E57392">
          <w:rPr>
            <w:noProof/>
            <w:webHidden/>
          </w:rPr>
          <w:t>34</w:t>
        </w:r>
        <w:r w:rsidR="00F64633">
          <w:rPr>
            <w:noProof/>
            <w:webHidden/>
          </w:rPr>
          <w:fldChar w:fldCharType="end"/>
        </w:r>
      </w:hyperlink>
    </w:p>
    <w:p w:rsidR="00F64633" w:rsidRPr="008E2FCA" w:rsidRDefault="00C16F02" w:rsidP="00F64633">
      <w:pPr>
        <w:pStyle w:val="TOC3"/>
        <w:tabs>
          <w:tab w:val="right" w:leader="dot" w:pos="9350"/>
        </w:tabs>
        <w:spacing w:after="0"/>
        <w:rPr>
          <w:rFonts w:ascii="Calibri" w:eastAsia="Times New Roman" w:hAnsi="Calibri"/>
          <w:noProof/>
          <w:sz w:val="22"/>
          <w:szCs w:val="22"/>
        </w:rPr>
      </w:pPr>
      <w:hyperlink w:anchor="_Toc361342915" w:history="1">
        <w:r w:rsidR="00F64633" w:rsidRPr="002F7273">
          <w:rPr>
            <w:rStyle w:val="Hyperlink"/>
            <w:noProof/>
          </w:rPr>
          <w:t>... Poor Seniors without Disabilities</w:t>
        </w:r>
        <w:r w:rsidR="00F64633">
          <w:rPr>
            <w:noProof/>
            <w:webHidden/>
          </w:rPr>
          <w:tab/>
        </w:r>
        <w:r w:rsidR="00F64633">
          <w:rPr>
            <w:noProof/>
            <w:webHidden/>
          </w:rPr>
          <w:fldChar w:fldCharType="begin"/>
        </w:r>
        <w:r w:rsidR="00F64633">
          <w:rPr>
            <w:noProof/>
            <w:webHidden/>
          </w:rPr>
          <w:instrText xml:space="preserve"> PAGEREF _Toc361342915 \h </w:instrText>
        </w:r>
        <w:r w:rsidR="00F64633">
          <w:rPr>
            <w:noProof/>
            <w:webHidden/>
          </w:rPr>
        </w:r>
        <w:r w:rsidR="00F64633">
          <w:rPr>
            <w:noProof/>
            <w:webHidden/>
          </w:rPr>
          <w:fldChar w:fldCharType="separate"/>
        </w:r>
        <w:r w:rsidR="00E57392">
          <w:rPr>
            <w:noProof/>
            <w:webHidden/>
          </w:rPr>
          <w:t>35</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916" w:history="1">
        <w:r w:rsidR="00F64633" w:rsidRPr="002F7273">
          <w:rPr>
            <w:rStyle w:val="Hyperlink"/>
            <w:noProof/>
          </w:rPr>
          <w:t>Conclusion</w:t>
        </w:r>
        <w:r w:rsidR="00F64633">
          <w:rPr>
            <w:noProof/>
            <w:webHidden/>
          </w:rPr>
          <w:tab/>
        </w:r>
        <w:r w:rsidR="00F64633">
          <w:rPr>
            <w:noProof/>
            <w:webHidden/>
          </w:rPr>
          <w:fldChar w:fldCharType="begin"/>
        </w:r>
        <w:r w:rsidR="00F64633">
          <w:rPr>
            <w:noProof/>
            <w:webHidden/>
          </w:rPr>
          <w:instrText xml:space="preserve"> PAGEREF _Toc361342916 \h </w:instrText>
        </w:r>
        <w:r w:rsidR="00F64633">
          <w:rPr>
            <w:noProof/>
            <w:webHidden/>
          </w:rPr>
        </w:r>
        <w:r w:rsidR="00F64633">
          <w:rPr>
            <w:noProof/>
            <w:webHidden/>
          </w:rPr>
          <w:fldChar w:fldCharType="separate"/>
        </w:r>
        <w:r w:rsidR="00E57392">
          <w:rPr>
            <w:noProof/>
            <w:webHidden/>
          </w:rPr>
          <w:t>37</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917" w:history="1">
        <w:r w:rsidR="00F64633" w:rsidRPr="002F7273">
          <w:rPr>
            <w:rStyle w:val="Hyperlink"/>
            <w:noProof/>
          </w:rPr>
          <w:t>Appendix</w:t>
        </w:r>
        <w:r w:rsidR="00F64633">
          <w:rPr>
            <w:noProof/>
            <w:webHidden/>
          </w:rPr>
          <w:tab/>
        </w:r>
        <w:r w:rsidR="00F64633">
          <w:rPr>
            <w:noProof/>
            <w:webHidden/>
          </w:rPr>
          <w:fldChar w:fldCharType="begin"/>
        </w:r>
        <w:r w:rsidR="00F64633">
          <w:rPr>
            <w:noProof/>
            <w:webHidden/>
          </w:rPr>
          <w:instrText xml:space="preserve"> PAGEREF _Toc361342917 \h </w:instrText>
        </w:r>
        <w:r w:rsidR="00F64633">
          <w:rPr>
            <w:noProof/>
            <w:webHidden/>
          </w:rPr>
        </w:r>
        <w:r w:rsidR="00F64633">
          <w:rPr>
            <w:noProof/>
            <w:webHidden/>
          </w:rPr>
          <w:fldChar w:fldCharType="separate"/>
        </w:r>
        <w:r w:rsidR="00E57392">
          <w:rPr>
            <w:noProof/>
            <w:webHidden/>
          </w:rPr>
          <w:t>41</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918" w:history="1">
        <w:r w:rsidR="00F64633" w:rsidRPr="002F7273">
          <w:rPr>
            <w:rStyle w:val="Hyperlink"/>
            <w:noProof/>
          </w:rPr>
          <w:t>Descriptions of Government Transfer Income Sources</w:t>
        </w:r>
        <w:r w:rsidR="00F64633">
          <w:rPr>
            <w:noProof/>
            <w:webHidden/>
          </w:rPr>
          <w:tab/>
        </w:r>
        <w:r w:rsidR="00F64633">
          <w:rPr>
            <w:noProof/>
            <w:webHidden/>
          </w:rPr>
          <w:fldChar w:fldCharType="begin"/>
        </w:r>
        <w:r w:rsidR="00F64633">
          <w:rPr>
            <w:noProof/>
            <w:webHidden/>
          </w:rPr>
          <w:instrText xml:space="preserve"> PAGEREF _Toc361342918 \h </w:instrText>
        </w:r>
        <w:r w:rsidR="00F64633">
          <w:rPr>
            <w:noProof/>
            <w:webHidden/>
          </w:rPr>
        </w:r>
        <w:r w:rsidR="00F64633">
          <w:rPr>
            <w:noProof/>
            <w:webHidden/>
          </w:rPr>
          <w:fldChar w:fldCharType="separate"/>
        </w:r>
        <w:r w:rsidR="00E57392">
          <w:rPr>
            <w:noProof/>
            <w:webHidden/>
          </w:rPr>
          <w:t>42</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919" w:history="1">
        <w:r w:rsidR="00F64633" w:rsidRPr="002F7273">
          <w:rPr>
            <w:rStyle w:val="Hyperlink"/>
            <w:noProof/>
          </w:rPr>
          <w:t>Charts</w:t>
        </w:r>
        <w:r w:rsidR="00F64633">
          <w:rPr>
            <w:noProof/>
            <w:webHidden/>
          </w:rPr>
          <w:tab/>
        </w:r>
        <w:r w:rsidR="00F64633">
          <w:rPr>
            <w:noProof/>
            <w:webHidden/>
          </w:rPr>
          <w:fldChar w:fldCharType="begin"/>
        </w:r>
        <w:r w:rsidR="00F64633">
          <w:rPr>
            <w:noProof/>
            <w:webHidden/>
          </w:rPr>
          <w:instrText xml:space="preserve"> PAGEREF _Toc361342919 \h </w:instrText>
        </w:r>
        <w:r w:rsidR="00F64633">
          <w:rPr>
            <w:noProof/>
            <w:webHidden/>
          </w:rPr>
        </w:r>
        <w:r w:rsidR="00F64633">
          <w:rPr>
            <w:noProof/>
            <w:webHidden/>
          </w:rPr>
          <w:fldChar w:fldCharType="separate"/>
        </w:r>
        <w:r w:rsidR="00E57392">
          <w:rPr>
            <w:noProof/>
            <w:webHidden/>
          </w:rPr>
          <w:t>45</w:t>
        </w:r>
        <w:r w:rsidR="00F64633">
          <w:rPr>
            <w:noProof/>
            <w:webHidden/>
          </w:rPr>
          <w:fldChar w:fldCharType="end"/>
        </w:r>
      </w:hyperlink>
    </w:p>
    <w:p w:rsidR="00F64633" w:rsidRPr="008E2FCA" w:rsidRDefault="00C16F02" w:rsidP="00F64633">
      <w:pPr>
        <w:pStyle w:val="TOC2"/>
        <w:tabs>
          <w:tab w:val="right" w:leader="dot" w:pos="9350"/>
        </w:tabs>
        <w:spacing w:after="0"/>
        <w:rPr>
          <w:rFonts w:ascii="Calibri" w:eastAsia="Times New Roman" w:hAnsi="Calibri"/>
          <w:noProof/>
          <w:sz w:val="22"/>
          <w:szCs w:val="22"/>
        </w:rPr>
      </w:pPr>
      <w:hyperlink w:anchor="_Toc361342920" w:history="1">
        <w:r w:rsidR="00F64633" w:rsidRPr="002F7273">
          <w:rPr>
            <w:rStyle w:val="Hyperlink"/>
            <w:noProof/>
          </w:rPr>
          <w:t>Appendix Tables</w:t>
        </w:r>
        <w:r w:rsidR="00F64633">
          <w:rPr>
            <w:noProof/>
            <w:webHidden/>
          </w:rPr>
          <w:tab/>
        </w:r>
        <w:r w:rsidR="00F64633">
          <w:rPr>
            <w:noProof/>
            <w:webHidden/>
          </w:rPr>
          <w:fldChar w:fldCharType="begin"/>
        </w:r>
        <w:r w:rsidR="00F64633">
          <w:rPr>
            <w:noProof/>
            <w:webHidden/>
          </w:rPr>
          <w:instrText xml:space="preserve"> PAGEREF _Toc361342920 \h </w:instrText>
        </w:r>
        <w:r w:rsidR="00F64633">
          <w:rPr>
            <w:noProof/>
            <w:webHidden/>
          </w:rPr>
        </w:r>
        <w:r w:rsidR="00F64633">
          <w:rPr>
            <w:noProof/>
            <w:webHidden/>
          </w:rPr>
          <w:fldChar w:fldCharType="separate"/>
        </w:r>
        <w:r w:rsidR="00E57392">
          <w:rPr>
            <w:noProof/>
            <w:webHidden/>
          </w:rPr>
          <w:t>52</w:t>
        </w:r>
        <w:r w:rsidR="00F64633">
          <w:rPr>
            <w:noProof/>
            <w:webHidden/>
          </w:rPr>
          <w:fldChar w:fldCharType="end"/>
        </w:r>
      </w:hyperlink>
    </w:p>
    <w:p w:rsidR="00F64633" w:rsidRPr="008E2FCA" w:rsidRDefault="00C16F02" w:rsidP="00F64633">
      <w:pPr>
        <w:pStyle w:val="TOC1"/>
        <w:rPr>
          <w:rFonts w:ascii="Calibri" w:eastAsia="Times New Roman" w:hAnsi="Calibri"/>
          <w:noProof/>
          <w:sz w:val="22"/>
          <w:szCs w:val="22"/>
        </w:rPr>
      </w:pPr>
      <w:hyperlink w:anchor="_Toc361342921" w:history="1">
        <w:r w:rsidR="00F64633" w:rsidRPr="002F7273">
          <w:rPr>
            <w:rStyle w:val="Hyperlink"/>
            <w:noProof/>
          </w:rPr>
          <w:t>References</w:t>
        </w:r>
        <w:r w:rsidR="00F64633">
          <w:rPr>
            <w:noProof/>
            <w:webHidden/>
          </w:rPr>
          <w:tab/>
        </w:r>
        <w:r w:rsidR="00F64633">
          <w:rPr>
            <w:noProof/>
            <w:webHidden/>
          </w:rPr>
          <w:fldChar w:fldCharType="begin"/>
        </w:r>
        <w:r w:rsidR="00F64633">
          <w:rPr>
            <w:noProof/>
            <w:webHidden/>
          </w:rPr>
          <w:instrText xml:space="preserve"> PAGEREF _Toc361342921 \h </w:instrText>
        </w:r>
        <w:r w:rsidR="00F64633">
          <w:rPr>
            <w:noProof/>
            <w:webHidden/>
          </w:rPr>
        </w:r>
        <w:r w:rsidR="00F64633">
          <w:rPr>
            <w:noProof/>
            <w:webHidden/>
          </w:rPr>
          <w:fldChar w:fldCharType="separate"/>
        </w:r>
        <w:r w:rsidR="00E57392">
          <w:rPr>
            <w:noProof/>
            <w:webHidden/>
          </w:rPr>
          <w:t>71</w:t>
        </w:r>
        <w:r w:rsidR="00F64633">
          <w:rPr>
            <w:noProof/>
            <w:webHidden/>
          </w:rPr>
          <w:fldChar w:fldCharType="end"/>
        </w:r>
      </w:hyperlink>
    </w:p>
    <w:p w:rsidR="0078218D" w:rsidRDefault="00BA78BD" w:rsidP="00F64633">
      <w:pPr>
        <w:spacing w:after="0" w:line="240" w:lineRule="auto"/>
        <w:sectPr w:rsidR="0078218D" w:rsidSect="00D51C75">
          <w:headerReference w:type="default" r:id="rId11"/>
          <w:footerReference w:type="default" r:id="rId12"/>
          <w:pgSz w:w="12240" w:h="15840"/>
          <w:pgMar w:top="1440" w:right="1440" w:bottom="1440" w:left="1440" w:header="708" w:footer="708" w:gutter="0"/>
          <w:pgNumType w:fmt="lowerRoman" w:start="1"/>
          <w:cols w:space="708"/>
          <w:docGrid w:linePitch="360"/>
        </w:sectPr>
      </w:pPr>
      <w:r>
        <w:fldChar w:fldCharType="end"/>
      </w:r>
    </w:p>
    <w:p w:rsidR="00D91224" w:rsidRDefault="00D91224">
      <w:pPr>
        <w:sectPr w:rsidR="00D91224" w:rsidSect="00D51C75">
          <w:headerReference w:type="default" r:id="rId13"/>
          <w:footerReference w:type="default" r:id="rId14"/>
          <w:pgSz w:w="12240" w:h="15840"/>
          <w:pgMar w:top="1440" w:right="1440" w:bottom="1440" w:left="1440" w:header="708" w:footer="708" w:gutter="0"/>
          <w:pgNumType w:fmt="lowerRoman" w:start="1"/>
          <w:cols w:space="708"/>
          <w:docGrid w:linePitch="360"/>
        </w:sectPr>
      </w:pPr>
    </w:p>
    <w:p w:rsidR="00C37B00" w:rsidRDefault="00C37B00" w:rsidP="006B6A1B">
      <w:pPr>
        <w:pStyle w:val="Heading1"/>
      </w:pPr>
      <w:bookmarkStart w:id="0" w:name="_Toc361342884"/>
      <w:bookmarkStart w:id="1" w:name="_Toc354136993"/>
      <w:bookmarkStart w:id="2" w:name="_Toc354137348"/>
      <w:r w:rsidRPr="002E197C">
        <w:lastRenderedPageBreak/>
        <w:t>Executive Summary</w:t>
      </w:r>
      <w:bookmarkEnd w:id="0"/>
    </w:p>
    <w:p w:rsidR="00C37B00" w:rsidRDefault="00C37B00" w:rsidP="00C37B00">
      <w:r w:rsidRPr="00D73C6F">
        <w:t xml:space="preserve">This report provides a statistical look at the personal income sources of people with disabilities who live in low income households in Canada. These are people who </w:t>
      </w:r>
      <w:r w:rsidR="00B60248">
        <w:t xml:space="preserve">live in ‘straightened </w:t>
      </w:r>
      <w:proofErr w:type="gramStart"/>
      <w:r w:rsidR="00B60248">
        <w:t>circumstances’</w:t>
      </w:r>
      <w:r w:rsidR="00B72D8D">
        <w:t>,</w:t>
      </w:r>
      <w:proofErr w:type="gramEnd"/>
      <w:r w:rsidR="00B60248">
        <w:t xml:space="preserve"> </w:t>
      </w:r>
      <w:r w:rsidRPr="00D73C6F">
        <w:t>are sometimes referred to as living below the ‘poverty line’</w:t>
      </w:r>
      <w:r w:rsidR="00B60248">
        <w:t xml:space="preserve"> and are here referred to as ‘poor’</w:t>
      </w:r>
      <w:r w:rsidR="006C0CFF">
        <w:t xml:space="preserve"> or as having ‘low income’</w:t>
      </w:r>
      <w:r w:rsidR="00B60248">
        <w:t>.</w:t>
      </w:r>
      <w:r w:rsidRPr="00D73C6F">
        <w:t xml:space="preserve"> </w:t>
      </w:r>
    </w:p>
    <w:p w:rsidR="009E3F16" w:rsidRPr="00D73C6F" w:rsidRDefault="00C429AC" w:rsidP="00C37B00">
      <w:r w:rsidRPr="00C429AC">
        <w:t xml:space="preserve">The report is one piece of work that was completed for the Community-University Research Alliance </w:t>
      </w:r>
      <w:r w:rsidR="00C16F02">
        <w:t xml:space="preserve">(CURA) </w:t>
      </w:r>
      <w:r w:rsidRPr="00C429AC">
        <w:t xml:space="preserve">led by the Council of Canadians with Disabilities </w:t>
      </w:r>
      <w:r w:rsidR="00C16F02">
        <w:t xml:space="preserve">(CCD) </w:t>
      </w:r>
      <w:r w:rsidRPr="00C429AC">
        <w:t>entitled, ‘Disabling Poverty / Enabling Citizenship’.</w:t>
      </w:r>
      <w:r w:rsidR="00C70992">
        <w:t xml:space="preserve"> (</w:t>
      </w:r>
      <w:r w:rsidR="00C16F02">
        <w:t>For more information</w:t>
      </w:r>
      <w:r w:rsidR="00C70992">
        <w:t xml:space="preserve"> see </w:t>
      </w:r>
      <w:hyperlink r:id="rId15" w:history="1">
        <w:r w:rsidR="00C70992" w:rsidRPr="00176F5A">
          <w:rPr>
            <w:rStyle w:val="Hyperlink"/>
          </w:rPr>
          <w:t>www.</w:t>
        </w:r>
        <w:r w:rsidR="00C70992" w:rsidRPr="00176F5A">
          <w:rPr>
            <w:rStyle w:val="Hyperlink"/>
          </w:rPr>
          <w:t>c</w:t>
        </w:r>
        <w:r w:rsidR="00C70992" w:rsidRPr="00176F5A">
          <w:rPr>
            <w:rStyle w:val="Hyperlink"/>
          </w:rPr>
          <w:t>cdonline.ca</w:t>
        </w:r>
      </w:hyperlink>
      <w:r w:rsidR="00C70992">
        <w:t xml:space="preserve"> and </w:t>
      </w:r>
      <w:hyperlink r:id="rId16" w:history="1">
        <w:r w:rsidR="00C70992" w:rsidRPr="00176F5A">
          <w:rPr>
            <w:rStyle w:val="Hyperlink"/>
          </w:rPr>
          <w:t>http://www.ccdonline.ca/en/socialpolicy/poverty-citizenship</w:t>
        </w:r>
      </w:hyperlink>
      <w:r w:rsidR="00C70992">
        <w:t xml:space="preserve">.) </w:t>
      </w:r>
      <w:r>
        <w:t xml:space="preserve">The present research </w:t>
      </w:r>
      <w:r w:rsidR="009E3F16">
        <w:t xml:space="preserve">draws mainly from the public use version of the 2009 Survey of Labour and Income Dynamics (SLID), which is a </w:t>
      </w:r>
      <w:r w:rsidR="009E3F16" w:rsidRPr="009E3F16">
        <w:t xml:space="preserve">large Statistics Canada survey that is conducted annually. </w:t>
      </w:r>
      <w:r w:rsidR="009E3F16">
        <w:t xml:space="preserve">SLID </w:t>
      </w:r>
      <w:r w:rsidR="009E3F16" w:rsidRPr="009E3F16">
        <w:t xml:space="preserve">has </w:t>
      </w:r>
      <w:r w:rsidR="009E3F16">
        <w:t xml:space="preserve">historically </w:t>
      </w:r>
      <w:r w:rsidR="009E3F16" w:rsidRPr="009E3F16">
        <w:t>provided a wealth of information on the income, employment and other socio-demographic characteristics of Canadian adults 16 years and older.</w:t>
      </w:r>
    </w:p>
    <w:p w:rsidR="00C37B00" w:rsidRPr="00731822" w:rsidRDefault="00E6754C" w:rsidP="00C37B00">
      <w:r>
        <w:t xml:space="preserve">IRIS is examining this issue to better understand some of the facts </w:t>
      </w:r>
      <w:r w:rsidR="00D75344">
        <w:t>inside</w:t>
      </w:r>
      <w:r>
        <w:t xml:space="preserve"> the</w:t>
      </w:r>
      <w:r w:rsidR="00E9331B">
        <w:t xml:space="preserve"> income situation</w:t>
      </w:r>
      <w:r>
        <w:t xml:space="preserve"> of poor people with disabilities. As will be shown, working-age people with disabilities are about twice as likely as other Canadians</w:t>
      </w:r>
      <w:r w:rsidR="0071510B">
        <w:t xml:space="preserve"> to live below the poverty line, with an average income of </w:t>
      </w:r>
      <w:r w:rsidR="00C37B00" w:rsidRPr="00D73C6F">
        <w:t xml:space="preserve">$10,335 in 2009 compared with $11,940 among working-age poor people without disabilities and nearly $42,000 among working-age people without disabilities whose incomes are at or above the poverty line. </w:t>
      </w:r>
      <w:r w:rsidR="002E5E96">
        <w:t>The research found that t</w:t>
      </w:r>
      <w:r w:rsidR="00C37B00" w:rsidRPr="00731822">
        <w:t xml:space="preserve">he single largest component of the incomes of working-age poor people with disabilities is social assistance, followed next by federal and provincial child benefits and the </w:t>
      </w:r>
      <w:r w:rsidR="0071510B" w:rsidRPr="00731822">
        <w:t xml:space="preserve">Canada and Quebec Pension Plans </w:t>
      </w:r>
      <w:r w:rsidR="0071510B">
        <w:t>(</w:t>
      </w:r>
      <w:r w:rsidR="00C37B00" w:rsidRPr="00731822">
        <w:t>C/QPP</w:t>
      </w:r>
      <w:r w:rsidR="0071510B">
        <w:t>)</w:t>
      </w:r>
      <w:r w:rsidR="00C37B00" w:rsidRPr="00731822">
        <w:t xml:space="preserve">. For </w:t>
      </w:r>
      <w:r w:rsidR="0071510B">
        <w:t>poor</w:t>
      </w:r>
      <w:r w:rsidR="00C37B00" w:rsidRPr="00731822">
        <w:t xml:space="preserve"> people without disabilities, market income – </w:t>
      </w:r>
      <w:r w:rsidR="00E9331B">
        <w:t>mainly</w:t>
      </w:r>
      <w:r w:rsidR="00C37B00" w:rsidRPr="00731822">
        <w:t xml:space="preserve"> from employment – is the single largest component of their income. The exact contours of these patterns vary by province, liv</w:t>
      </w:r>
      <w:r w:rsidR="00DD0D4E">
        <w:t>ing arrangement, age and gender. The</w:t>
      </w:r>
      <w:r w:rsidR="00C37B00" w:rsidRPr="00731822">
        <w:t xml:space="preserve"> </w:t>
      </w:r>
      <w:r w:rsidR="0071510B">
        <w:t>C/QPP</w:t>
      </w:r>
      <w:r w:rsidR="00C37B00" w:rsidRPr="00731822">
        <w:t xml:space="preserve"> compris</w:t>
      </w:r>
      <w:r w:rsidR="00DD0D4E">
        <w:t>e</w:t>
      </w:r>
      <w:r w:rsidR="006D0777">
        <w:t>s</w:t>
      </w:r>
      <w:r w:rsidR="00C37B00" w:rsidRPr="00731822">
        <w:t xml:space="preserve"> a greater share of the incomes of </w:t>
      </w:r>
      <w:r w:rsidR="00DD0D4E">
        <w:t>both poor</w:t>
      </w:r>
      <w:r w:rsidR="00C37B00" w:rsidRPr="00731822">
        <w:t xml:space="preserve"> men and women with disabilities as they approach the retirement years</w:t>
      </w:r>
      <w:r w:rsidR="00DD0D4E">
        <w:t>. C</w:t>
      </w:r>
      <w:r w:rsidR="00C37B00" w:rsidRPr="00731822">
        <w:t>hild benefits compris</w:t>
      </w:r>
      <w:r w:rsidR="00DD0D4E">
        <w:t>e</w:t>
      </w:r>
      <w:r w:rsidR="00C37B00" w:rsidRPr="00731822">
        <w:t xml:space="preserve"> a significant share of incomes for poor women regardless of disability. </w:t>
      </w:r>
      <w:r w:rsidR="00C37B00">
        <w:t>T</w:t>
      </w:r>
      <w:r w:rsidR="00C37B00" w:rsidRPr="00731822">
        <w:t xml:space="preserve">he OAS/GIS and C/QPP are </w:t>
      </w:r>
      <w:r w:rsidR="00DD0D4E">
        <w:t xml:space="preserve">very </w:t>
      </w:r>
      <w:r w:rsidR="00C37B00" w:rsidRPr="00731822">
        <w:t>important sources of income among poor seniors</w:t>
      </w:r>
      <w:r w:rsidR="00C37B00">
        <w:t>, again irrespective of disability</w:t>
      </w:r>
      <w:r w:rsidR="00C37B00" w:rsidRPr="00731822">
        <w:t>.</w:t>
      </w:r>
    </w:p>
    <w:p w:rsidR="00C37B00" w:rsidRPr="00D73C6F" w:rsidRDefault="00C37B00" w:rsidP="00C37B00">
      <w:r w:rsidRPr="00D73C6F">
        <w:t>This report provides details behind these figures, focusing on working-age poor people with and without disabilities by province and living arrangements. It also widens the focus to explore the income situation of people with and without disabilities by age and gender, bringing into view the situation of seniors.</w:t>
      </w:r>
    </w:p>
    <w:p w:rsidR="00C37B00" w:rsidRPr="00D73C6F" w:rsidRDefault="00C37B00" w:rsidP="00C37B00">
      <w:r w:rsidRPr="00D73C6F">
        <w:t xml:space="preserve">The main focus of the research is on the income sources of poor people with disabilities and how those look in comparison to the income sources of </w:t>
      </w:r>
      <w:r>
        <w:t>poor people without disabilities</w:t>
      </w:r>
      <w:r w:rsidRPr="00D73C6F">
        <w:t>.</w:t>
      </w:r>
    </w:p>
    <w:p w:rsidR="00C37B00" w:rsidRPr="00A06012" w:rsidRDefault="00C37B00" w:rsidP="008A50BE">
      <w:pPr>
        <w:keepNext/>
        <w:keepLines/>
        <w:rPr>
          <w:b/>
          <w:i/>
        </w:rPr>
      </w:pPr>
      <w:r w:rsidRPr="00A06012">
        <w:rPr>
          <w:b/>
          <w:i/>
        </w:rPr>
        <w:lastRenderedPageBreak/>
        <w:t>Province</w:t>
      </w:r>
    </w:p>
    <w:p w:rsidR="00C37B00" w:rsidRPr="009C693C" w:rsidRDefault="00C37B00" w:rsidP="008A50BE">
      <w:pPr>
        <w:keepNext/>
        <w:keepLines/>
        <w:numPr>
          <w:ilvl w:val="0"/>
          <w:numId w:val="22"/>
        </w:numPr>
      </w:pPr>
      <w:r w:rsidRPr="009C693C">
        <w:t>Compared with their average total income nationally ($10,3</w:t>
      </w:r>
      <w:r w:rsidR="00B82706">
        <w:t>3</w:t>
      </w:r>
      <w:r w:rsidRPr="009C693C">
        <w:t xml:space="preserve">5), average incomes among working-age poor people with disabilities are highest in Alberta ($11,482), Ontario ($10,693) and Manitoba (10,532). They are lowest in New Brunswick ($7,771), Newfoundland and Labrador ($8,432) and Nova Scotia ($8,565). </w:t>
      </w:r>
    </w:p>
    <w:p w:rsidR="00C37B00" w:rsidRPr="009C693C" w:rsidRDefault="00C37B00" w:rsidP="00C37B00">
      <w:pPr>
        <w:numPr>
          <w:ilvl w:val="0"/>
          <w:numId w:val="22"/>
        </w:numPr>
      </w:pPr>
      <w:r w:rsidRPr="009C693C">
        <w:t xml:space="preserve">About two-thirds of the total income of working-age poor people with disabilities is from government transfers (65.2%) and about a third </w:t>
      </w:r>
      <w:r w:rsidR="006D0777">
        <w:t xml:space="preserve">is </w:t>
      </w:r>
      <w:r w:rsidRPr="009C693C">
        <w:t xml:space="preserve">from private market sources (34.8%), </w:t>
      </w:r>
      <w:r w:rsidR="006C05F2">
        <w:t>w</w:t>
      </w:r>
      <w:r w:rsidR="00936DCF">
        <w:t xml:space="preserve">ith earnings comprising about a quarter (wages and salaries at </w:t>
      </w:r>
      <w:r w:rsidRPr="009C693C">
        <w:t>23.7%</w:t>
      </w:r>
      <w:r w:rsidR="00936DCF">
        <w:t xml:space="preserve"> </w:t>
      </w:r>
      <w:r w:rsidRPr="009C693C">
        <w:t xml:space="preserve">and self-employment </w:t>
      </w:r>
      <w:r w:rsidR="00936DCF">
        <w:t xml:space="preserve">at </w:t>
      </w:r>
      <w:r w:rsidRPr="009C693C">
        <w:t>2.5%</w:t>
      </w:r>
      <w:r w:rsidR="00936DCF">
        <w:t>).</w:t>
      </w:r>
      <w:r w:rsidRPr="009C693C">
        <w:t xml:space="preserve"> </w:t>
      </w:r>
    </w:p>
    <w:p w:rsidR="00C37B00" w:rsidRDefault="00C37B00" w:rsidP="00C37B00">
      <w:pPr>
        <w:numPr>
          <w:ilvl w:val="0"/>
          <w:numId w:val="22"/>
        </w:numPr>
      </w:pPr>
      <w:r w:rsidRPr="009C693C">
        <w:t>Particularly high shares of transfer income and low shares of market income are notable in Quebec and the Atlantic provinces. The most extreme variance from the national average is Newfoundland and Labrador, where market income comprises only 13.7% and transfer</w:t>
      </w:r>
      <w:r w:rsidR="006C05F2">
        <w:t xml:space="preserve"> income</w:t>
      </w:r>
      <w:r w:rsidRPr="009C693C">
        <w:t>, 83.6%.</w:t>
      </w:r>
    </w:p>
    <w:p w:rsidR="00C37B00" w:rsidRPr="004F7E80" w:rsidRDefault="00C37B00" w:rsidP="00C37B00">
      <w:pPr>
        <w:numPr>
          <w:ilvl w:val="0"/>
          <w:numId w:val="22"/>
        </w:numPr>
      </w:pPr>
      <w:r w:rsidRPr="004F7E80">
        <w:t xml:space="preserve">Alberta accounts for the highest share of income from wages and salaries among </w:t>
      </w:r>
      <w:r w:rsidR="00936DCF">
        <w:t xml:space="preserve">both </w:t>
      </w:r>
      <w:r w:rsidRPr="004F7E80">
        <w:t>poor people with and without disabilities (47.7% and 79.0%, respectively). The next-highest share of total income from wages and salaries among disabled poor people with disabilities is found in Manitoba at 28.7% whereas the next-highest share for poor people without disabilities is found in British Columbia at 66</w:t>
      </w:r>
      <w:r>
        <w:t>.0</w:t>
      </w:r>
      <w:r w:rsidRPr="004F7E80">
        <w:t>%.</w:t>
      </w:r>
    </w:p>
    <w:p w:rsidR="00C37B00" w:rsidRDefault="00C37B00" w:rsidP="00C37B00">
      <w:pPr>
        <w:numPr>
          <w:ilvl w:val="0"/>
          <w:numId w:val="22"/>
        </w:numPr>
      </w:pPr>
      <w:r w:rsidRPr="009C693C">
        <w:t xml:space="preserve">While wages and salaries account for about a quarter of the income of working-age poor people </w:t>
      </w:r>
      <w:r w:rsidR="00936DCF">
        <w:t xml:space="preserve">with disabilities </w:t>
      </w:r>
      <w:r w:rsidRPr="009C693C">
        <w:t>overall (23.7%)</w:t>
      </w:r>
      <w:r w:rsidR="00936DCF">
        <w:t>,</w:t>
      </w:r>
      <w:r w:rsidRPr="009C693C">
        <w:t xml:space="preserve"> they comprises much less in Quebec (15.7%), New Brunswick (12.0%) and Newfoundland and Labrador (9.5%)</w:t>
      </w:r>
      <w:r w:rsidR="00936DCF">
        <w:t>. By contrast, in Alberta wages and salaries account for almost half</w:t>
      </w:r>
      <w:r w:rsidRPr="009C693C">
        <w:t xml:space="preserve"> (49.7%)</w:t>
      </w:r>
      <w:r w:rsidR="00BF2B67">
        <w:t xml:space="preserve"> of the income of working-age poor people who report having a disability</w:t>
      </w:r>
      <w:r w:rsidRPr="009C693C">
        <w:t>.</w:t>
      </w:r>
    </w:p>
    <w:p w:rsidR="00652270" w:rsidRPr="000918FE" w:rsidRDefault="00652270" w:rsidP="009024F9">
      <w:pPr>
        <w:numPr>
          <w:ilvl w:val="0"/>
          <w:numId w:val="22"/>
        </w:numPr>
      </w:pPr>
      <w:r>
        <w:t>S</w:t>
      </w:r>
      <w:r w:rsidRPr="009C693C">
        <w:t>ocial assistance comprises a high share of</w:t>
      </w:r>
      <w:r w:rsidR="009024F9">
        <w:t xml:space="preserve"> the total</w:t>
      </w:r>
      <w:r w:rsidRPr="009C693C">
        <w:t xml:space="preserve"> income </w:t>
      </w:r>
      <w:r w:rsidR="009024F9">
        <w:t>of</w:t>
      </w:r>
      <w:r w:rsidRPr="009C693C">
        <w:t xml:space="preserve"> poor people with disabilities</w:t>
      </w:r>
      <w:r w:rsidR="009024F9">
        <w:t>,</w:t>
      </w:r>
      <w:r w:rsidRPr="009C693C">
        <w:t xml:space="preserve"> </w:t>
      </w:r>
      <w:r>
        <w:t>at 3</w:t>
      </w:r>
      <w:r w:rsidRPr="00F97E7C">
        <w:t>5.3% overall</w:t>
      </w:r>
      <w:r>
        <w:t>. S</w:t>
      </w:r>
      <w:r w:rsidRPr="009C693C">
        <w:t>ocial assistance comprises a</w:t>
      </w:r>
      <w:r>
        <w:t>n even higher</w:t>
      </w:r>
      <w:r w:rsidRPr="009C693C">
        <w:t xml:space="preserve"> </w:t>
      </w:r>
      <w:r>
        <w:t xml:space="preserve">than average </w:t>
      </w:r>
      <w:r w:rsidRPr="009C693C">
        <w:t xml:space="preserve">share of </w:t>
      </w:r>
      <w:r>
        <w:t xml:space="preserve">total </w:t>
      </w:r>
      <w:r w:rsidRPr="009C693C">
        <w:t xml:space="preserve">income among poor people with disabilities in Newfoundland and Labrador (58.2%), Saskatchewan (50.3%) and </w:t>
      </w:r>
      <w:proofErr w:type="gramStart"/>
      <w:r w:rsidRPr="009C693C">
        <w:t>New</w:t>
      </w:r>
      <w:proofErr w:type="gramEnd"/>
      <w:r w:rsidR="009024F9">
        <w:t xml:space="preserve"> </w:t>
      </w:r>
      <w:r w:rsidRPr="009C693C">
        <w:t xml:space="preserve">Brunswick (44.4%). It comprises a notably lower than average share in Alberta (28.2%) and Manitoba (24.8%) </w:t>
      </w:r>
    </w:p>
    <w:p w:rsidR="00C37B00" w:rsidRDefault="00C37B00" w:rsidP="00C37B00">
      <w:pPr>
        <w:numPr>
          <w:ilvl w:val="0"/>
          <w:numId w:val="22"/>
        </w:numPr>
      </w:pPr>
      <w:r w:rsidRPr="009C693C">
        <w:t>After social assistance, federal and provincial child benefits (9.0%) and the C/QPP (8.9%) account for the next largest shares of total income from transfers among working-age poor people with disabilities</w:t>
      </w:r>
      <w:r w:rsidR="00BF2B67">
        <w:t xml:space="preserve"> at the Canada level</w:t>
      </w:r>
      <w:r w:rsidRPr="009C693C">
        <w:t xml:space="preserve">. </w:t>
      </w:r>
    </w:p>
    <w:p w:rsidR="009024F9" w:rsidRDefault="009024F9" w:rsidP="00C37B00">
      <w:pPr>
        <w:numPr>
          <w:ilvl w:val="0"/>
          <w:numId w:val="22"/>
        </w:numPr>
      </w:pPr>
      <w:r w:rsidRPr="000918FE">
        <w:lastRenderedPageBreak/>
        <w:t xml:space="preserve">Spousal and child support makes up a relatively high share of the total income of working-age poor people with disabilities in New Brunswick (2.1% compared with the national average of 1.0%). New Brunswick is also the province where </w:t>
      </w:r>
      <w:r w:rsidR="006D0777">
        <w:t>a</w:t>
      </w:r>
      <w:r w:rsidRPr="000918FE">
        <w:t xml:space="preserve"> highe</w:t>
      </w:r>
      <w:r w:rsidR="006D0777">
        <w:t>r</w:t>
      </w:r>
      <w:r w:rsidRPr="000918FE">
        <w:t xml:space="preserve"> proportion of income is from federal and provincial child benefits among working-age poor people with disabilities</w:t>
      </w:r>
      <w:r>
        <w:t>.</w:t>
      </w:r>
    </w:p>
    <w:p w:rsidR="00C37B00" w:rsidRPr="000918FE" w:rsidRDefault="00C37B00" w:rsidP="00C37B00">
      <w:pPr>
        <w:numPr>
          <w:ilvl w:val="0"/>
          <w:numId w:val="22"/>
        </w:numPr>
      </w:pPr>
      <w:r w:rsidRPr="000918FE">
        <w:t xml:space="preserve">Federal and provincial child benefits make up a larger than typical share of the income of poor people with disabilities in New Brunswick (13.8%) and Quebec (10.5%) compared with 9% overall. These benefits </w:t>
      </w:r>
      <w:r w:rsidR="00BF2B67">
        <w:t xml:space="preserve">account for </w:t>
      </w:r>
      <w:r w:rsidRPr="000918FE">
        <w:t>6.6% in Newfoundland and Labrador and 5% or less in British Columbia, Alberta and Nova Scotia.</w:t>
      </w:r>
    </w:p>
    <w:p w:rsidR="00C37B00" w:rsidRPr="000918FE" w:rsidRDefault="00C37B00" w:rsidP="00C37B00">
      <w:pPr>
        <w:numPr>
          <w:ilvl w:val="0"/>
          <w:numId w:val="22"/>
        </w:numPr>
      </w:pPr>
      <w:r w:rsidRPr="000918FE">
        <w:t xml:space="preserve">Compared with 8.9% overall among working-age poor people with disabilities, the C/QPP makes up a relatively large share of </w:t>
      </w:r>
      <w:r w:rsidR="0079039A">
        <w:t xml:space="preserve">their </w:t>
      </w:r>
      <w:r w:rsidR="00BF2B67">
        <w:t xml:space="preserve">total </w:t>
      </w:r>
      <w:r w:rsidRPr="000918FE">
        <w:t>income in Manitoba (19.7%) yet only 5.8% in Saskatchewan.</w:t>
      </w:r>
    </w:p>
    <w:p w:rsidR="00C37B00" w:rsidRDefault="00C37B00" w:rsidP="00652270">
      <w:pPr>
        <w:numPr>
          <w:ilvl w:val="0"/>
          <w:numId w:val="22"/>
        </w:numPr>
      </w:pPr>
      <w:r w:rsidRPr="000918FE">
        <w:t>Compared with 3.5% overall, EI makes up a notably greater share of</w:t>
      </w:r>
      <w:r>
        <w:t xml:space="preserve"> the</w:t>
      </w:r>
      <w:r w:rsidRPr="000918FE">
        <w:t xml:space="preserve"> </w:t>
      </w:r>
      <w:r w:rsidR="00BF2B67">
        <w:t xml:space="preserve">total </w:t>
      </w:r>
      <w:r w:rsidRPr="000918FE">
        <w:t xml:space="preserve">income </w:t>
      </w:r>
      <w:r>
        <w:t xml:space="preserve">of working-age poor people with disabilities </w:t>
      </w:r>
      <w:r w:rsidRPr="000918FE">
        <w:t>in British Columbia (7.1%) and Nova Scotia (6.1%) and notably less in Quebec (2.4%), New Brunswick (1.2%) and almost nothing in Manitoba (0.1%)</w:t>
      </w:r>
      <w:r>
        <w:t>.</w:t>
      </w:r>
    </w:p>
    <w:p w:rsidR="002C007F" w:rsidRPr="00A06012" w:rsidRDefault="002C007F" w:rsidP="002C007F">
      <w:pPr>
        <w:rPr>
          <w:b/>
          <w:i/>
        </w:rPr>
      </w:pPr>
      <w:r w:rsidRPr="00A06012">
        <w:rPr>
          <w:b/>
          <w:i/>
        </w:rPr>
        <w:t>Living Arrangements</w:t>
      </w:r>
    </w:p>
    <w:p w:rsidR="00C37B00" w:rsidRPr="00A06012" w:rsidRDefault="002C007F" w:rsidP="00C37B00">
      <w:pPr>
        <w:numPr>
          <w:ilvl w:val="0"/>
          <w:numId w:val="22"/>
        </w:numPr>
      </w:pPr>
      <w:r>
        <w:t>P</w:t>
      </w:r>
      <w:r w:rsidR="00C37B00" w:rsidRPr="00A06012">
        <w:t xml:space="preserve">oor </w:t>
      </w:r>
      <w:r w:rsidR="0079039A">
        <w:t>people with disabilities who ar</w:t>
      </w:r>
      <w:r w:rsidR="00AD148B">
        <w:t>e</w:t>
      </w:r>
      <w:r w:rsidR="0079039A">
        <w:t xml:space="preserve"> </w:t>
      </w:r>
      <w:r>
        <w:t xml:space="preserve">unattached </w:t>
      </w:r>
      <w:r w:rsidR="0079039A">
        <w:t>and who</w:t>
      </w:r>
      <w:r w:rsidR="00C37B00" w:rsidRPr="00A06012">
        <w:t xml:space="preserve"> live with others have relatively high incomes ($16,201</w:t>
      </w:r>
      <w:r>
        <w:t xml:space="preserve"> compared with c</w:t>
      </w:r>
      <w:r w:rsidRPr="00A06012">
        <w:t>ompared with $10,335 overall</w:t>
      </w:r>
      <w:r>
        <w:t>)</w:t>
      </w:r>
      <w:r w:rsidR="00C37B00" w:rsidRPr="00A06012">
        <w:t xml:space="preserve"> and </w:t>
      </w:r>
      <w:r w:rsidR="006D0777">
        <w:t xml:space="preserve">poor disabled people in </w:t>
      </w:r>
      <w:r w:rsidR="00C37B00" w:rsidRPr="00A06012">
        <w:t xml:space="preserve">couples with no children have very low incomes ($6,300). </w:t>
      </w:r>
    </w:p>
    <w:p w:rsidR="00C37B00" w:rsidRPr="00A06012" w:rsidRDefault="00C37B00" w:rsidP="00C37B00">
      <w:pPr>
        <w:numPr>
          <w:ilvl w:val="0"/>
          <w:numId w:val="22"/>
        </w:numPr>
      </w:pPr>
      <w:r w:rsidRPr="00A06012">
        <w:t xml:space="preserve">Compared with 65.2% overall, working-age disabled and poor female lone parents have the highest share of income from government transfers (83%) followed next by unattached people </w:t>
      </w:r>
      <w:r w:rsidR="006D0777">
        <w:t xml:space="preserve">with disabilities </w:t>
      </w:r>
      <w:r w:rsidRPr="00A06012">
        <w:t xml:space="preserve">who live alone (75.3%). </w:t>
      </w:r>
      <w:r w:rsidR="0079039A">
        <w:t>P</w:t>
      </w:r>
      <w:r w:rsidRPr="00A06012">
        <w:t xml:space="preserve">oor </w:t>
      </w:r>
      <w:r w:rsidR="002C007F">
        <w:t>people with disabilities</w:t>
      </w:r>
      <w:r w:rsidRPr="00A06012">
        <w:t xml:space="preserve"> who </w:t>
      </w:r>
      <w:r w:rsidR="0079039A">
        <w:t xml:space="preserve">are unattached and who </w:t>
      </w:r>
      <w:r w:rsidRPr="00A06012">
        <w:t xml:space="preserve">live with others in multi-person households have </w:t>
      </w:r>
      <w:r w:rsidR="006D0777">
        <w:t>a comparatively low</w:t>
      </w:r>
      <w:r w:rsidRPr="00A06012">
        <w:t xml:space="preserve"> overall share of transfer income (32.5%).</w:t>
      </w:r>
    </w:p>
    <w:p w:rsidR="00C37B00" w:rsidRPr="00A06012" w:rsidRDefault="00C37B00" w:rsidP="00C37B00">
      <w:pPr>
        <w:numPr>
          <w:ilvl w:val="0"/>
          <w:numId w:val="22"/>
        </w:numPr>
      </w:pPr>
      <w:r w:rsidRPr="00A06012">
        <w:t xml:space="preserve">Compared with the national average of 23.7%, wages and salaries make up a notably large share of the income of unattached working-age poor people </w:t>
      </w:r>
      <w:r w:rsidR="0079039A">
        <w:t xml:space="preserve">with disabilities </w:t>
      </w:r>
      <w:r w:rsidRPr="00A06012">
        <w:t xml:space="preserve">in multi-person households (59.9%) and among </w:t>
      </w:r>
      <w:r w:rsidR="0079039A">
        <w:t xml:space="preserve">people with disabilities in </w:t>
      </w:r>
      <w:r w:rsidRPr="00A06012">
        <w:t xml:space="preserve">couples with no children (32.7%). Wages and salaries make up a notably lower share among </w:t>
      </w:r>
      <w:r w:rsidR="009A5AF8">
        <w:t xml:space="preserve">low income </w:t>
      </w:r>
      <w:r w:rsidRPr="00A06012">
        <w:t xml:space="preserve">female lone parents </w:t>
      </w:r>
      <w:r w:rsidR="009A5AF8">
        <w:t xml:space="preserve">with disabilities </w:t>
      </w:r>
      <w:r w:rsidRPr="00A06012">
        <w:t xml:space="preserve">(9.5%) and unattached </w:t>
      </w:r>
      <w:r w:rsidR="009A5AF8">
        <w:t xml:space="preserve">poor </w:t>
      </w:r>
      <w:r w:rsidRPr="00A06012">
        <w:t>people</w:t>
      </w:r>
      <w:r w:rsidR="009A5AF8">
        <w:t xml:space="preserve"> with disabilities who live</w:t>
      </w:r>
      <w:r w:rsidRPr="00A06012">
        <w:t xml:space="preserve"> alone (14.4%).</w:t>
      </w:r>
    </w:p>
    <w:p w:rsidR="00C37B00" w:rsidRPr="00A06012" w:rsidRDefault="00C37B00" w:rsidP="00C37B00">
      <w:pPr>
        <w:numPr>
          <w:ilvl w:val="0"/>
          <w:numId w:val="22"/>
        </w:numPr>
      </w:pPr>
      <w:r w:rsidRPr="00A06012">
        <w:lastRenderedPageBreak/>
        <w:t xml:space="preserve">Child benefits also make up a relatively higher share of the </w:t>
      </w:r>
      <w:r w:rsidR="001E284C">
        <w:t xml:space="preserve">total </w:t>
      </w:r>
      <w:r w:rsidRPr="00A06012">
        <w:t>income of poor female lone parents</w:t>
      </w:r>
      <w:r w:rsidR="002C007F">
        <w:t xml:space="preserve"> with disabilities</w:t>
      </w:r>
      <w:r w:rsidRPr="00A06012">
        <w:t xml:space="preserve"> (28.8% vs. 9.0% overall) and among </w:t>
      </w:r>
      <w:r w:rsidR="006D0777">
        <w:t xml:space="preserve">poor </w:t>
      </w:r>
      <w:r w:rsidR="001E284C">
        <w:t xml:space="preserve">people with disabilities </w:t>
      </w:r>
      <w:r w:rsidR="006D0777">
        <w:t xml:space="preserve">in </w:t>
      </w:r>
      <w:r w:rsidRPr="00A06012">
        <w:t>couples w</w:t>
      </w:r>
      <w:r w:rsidR="001E284C">
        <w:t>ho have</w:t>
      </w:r>
      <w:r w:rsidRPr="00A06012">
        <w:t xml:space="preserve"> children (30.5%). </w:t>
      </w:r>
    </w:p>
    <w:p w:rsidR="00C37B00" w:rsidRPr="00A06012" w:rsidRDefault="00C37B00" w:rsidP="00C37B00">
      <w:pPr>
        <w:numPr>
          <w:ilvl w:val="0"/>
          <w:numId w:val="22"/>
        </w:numPr>
      </w:pPr>
      <w:r w:rsidRPr="00A06012">
        <w:t xml:space="preserve">Social assistance makes up more than a third of the income of working-age poor people </w:t>
      </w:r>
      <w:r w:rsidR="001E284C">
        <w:t xml:space="preserve">with disabilities </w:t>
      </w:r>
      <w:r w:rsidRPr="00A06012">
        <w:t xml:space="preserve">overall (35.3%). It makes up a little more than that among female lone parents </w:t>
      </w:r>
      <w:r w:rsidR="001E284C">
        <w:t xml:space="preserve">with disabilities </w:t>
      </w:r>
      <w:r w:rsidRPr="00A06012">
        <w:t xml:space="preserve">(39.6%) and considerably more among unattached people </w:t>
      </w:r>
      <w:r w:rsidR="001E284C">
        <w:t xml:space="preserve">with disabilities </w:t>
      </w:r>
      <w:r w:rsidRPr="00A06012">
        <w:t xml:space="preserve">who live alone (47.9%). Social assistance makes up considerably less among low income working-age disabled poor people </w:t>
      </w:r>
      <w:r w:rsidR="006D0777">
        <w:t xml:space="preserve">with disabilities </w:t>
      </w:r>
      <w:r w:rsidRPr="00A06012">
        <w:t>who are in couples without (25.7%) or with children (15.8%) or who are unattached and living with others (20.8%).</w:t>
      </w:r>
    </w:p>
    <w:p w:rsidR="00C37B00" w:rsidRPr="00A06012" w:rsidRDefault="00C37B00" w:rsidP="00C37B00">
      <w:pPr>
        <w:rPr>
          <w:b/>
          <w:i/>
        </w:rPr>
      </w:pPr>
      <w:r w:rsidRPr="00A06012">
        <w:rPr>
          <w:b/>
          <w:i/>
        </w:rPr>
        <w:t>Gender and Age</w:t>
      </w:r>
    </w:p>
    <w:p w:rsidR="00C37B00" w:rsidRPr="00A06012" w:rsidRDefault="00966019" w:rsidP="00C37B00">
      <w:pPr>
        <w:numPr>
          <w:ilvl w:val="0"/>
          <w:numId w:val="4"/>
        </w:numPr>
      </w:pPr>
      <w:r>
        <w:t>Re</w:t>
      </w:r>
      <w:r w:rsidR="00C37B00" w:rsidRPr="00A06012">
        <w:t xml:space="preserve">gardless of gender, the general pattern is for government transfers to make up an increasing share of the income of poor people with disabilities as they get older. That pattern holds up for men but reverses somewhat for women 55 to 64 years of age. Among the latter, there is a decrease in the percentage of transfer income to 69.4% compared with 77.9% among women 45 to 54 years of age. </w:t>
      </w:r>
    </w:p>
    <w:p w:rsidR="00C37B00" w:rsidRPr="00A06012" w:rsidRDefault="00966019" w:rsidP="00C37B00">
      <w:pPr>
        <w:numPr>
          <w:ilvl w:val="0"/>
          <w:numId w:val="4"/>
        </w:numPr>
      </w:pPr>
      <w:r>
        <w:t>Y</w:t>
      </w:r>
      <w:r w:rsidR="00C37B00" w:rsidRPr="00A06012">
        <w:t xml:space="preserve">outh with disabilities and low incomes are less likely than their older counterparts to </w:t>
      </w:r>
      <w:r w:rsidR="00A57B94">
        <w:t>receive</w:t>
      </w:r>
      <w:r w:rsidR="00C37B00" w:rsidRPr="00A06012">
        <w:t xml:space="preserve"> government transfer incomes, but there are some gendered differences: 28.0% of the income of </w:t>
      </w:r>
      <w:r w:rsidR="006D0777">
        <w:t xml:space="preserve">poor </w:t>
      </w:r>
      <w:r w:rsidR="00C37B00" w:rsidRPr="00A06012">
        <w:t>young men</w:t>
      </w:r>
      <w:r>
        <w:t xml:space="preserve"> </w:t>
      </w:r>
      <w:r w:rsidR="006D0777">
        <w:t>with disabilities aged</w:t>
      </w:r>
      <w:r w:rsidR="00C37B00" w:rsidRPr="00A06012">
        <w:t xml:space="preserve"> 16 to 29 years consists of transfer income compared with more than half of the income (53.4%) of their female counterparts.</w:t>
      </w:r>
      <w:r w:rsidR="00CD5779">
        <w:t xml:space="preserve"> Poor young women with disabilities are nearly twice as likely as their male counterparts to receive social assistance (23.3% vs. 14.4%)</w:t>
      </w:r>
      <w:r w:rsidR="00D42FBF">
        <w:t xml:space="preserve"> and three times more likely than non-disabled poor young women (8.3%).</w:t>
      </w:r>
    </w:p>
    <w:p w:rsidR="00C37B00" w:rsidRPr="00A06012" w:rsidRDefault="00C37B00" w:rsidP="00C37B00">
      <w:pPr>
        <w:numPr>
          <w:ilvl w:val="0"/>
          <w:numId w:val="4"/>
        </w:numPr>
      </w:pPr>
      <w:r w:rsidRPr="00A06012">
        <w:t xml:space="preserve">A much larger share of the income of poor women than </w:t>
      </w:r>
      <w:r w:rsidR="00966019">
        <w:t xml:space="preserve">poor </w:t>
      </w:r>
      <w:r w:rsidRPr="00A06012">
        <w:t xml:space="preserve">men with disabilities consists of federal and provincial child benefits, with, most notably, </w:t>
      </w:r>
      <w:r w:rsidR="00184675">
        <w:t>nearly</w:t>
      </w:r>
      <w:r w:rsidRPr="00A06012">
        <w:t xml:space="preserve"> a third of the income (29.1%) of these women </w:t>
      </w:r>
      <w:r w:rsidR="00966019">
        <w:t xml:space="preserve">aged </w:t>
      </w:r>
      <w:r w:rsidRPr="00A06012">
        <w:t>30 to 44 years consisting of child benefits compared with only 0.8% among their male counterparts.</w:t>
      </w:r>
    </w:p>
    <w:p w:rsidR="00C37B00" w:rsidRPr="00A06012" w:rsidRDefault="00C37B00" w:rsidP="00C37B00">
      <w:pPr>
        <w:numPr>
          <w:ilvl w:val="0"/>
          <w:numId w:val="4"/>
        </w:numPr>
      </w:pPr>
      <w:r w:rsidRPr="00A06012">
        <w:t>In contrast, nearly twice the proportion of the average low income of men 55 to 64 years with disabilities is made up of C/QPP benefits as compared with their women counterparts (26.7% vs. 15.4%</w:t>
      </w:r>
      <w:r w:rsidR="00966019">
        <w:t xml:space="preserve"> respectively</w:t>
      </w:r>
      <w:r w:rsidRPr="00A06012">
        <w:t xml:space="preserve">). </w:t>
      </w:r>
    </w:p>
    <w:p w:rsidR="00C37B00" w:rsidRPr="00A06012" w:rsidRDefault="00C37B00" w:rsidP="00C37B00">
      <w:pPr>
        <w:numPr>
          <w:ilvl w:val="0"/>
          <w:numId w:val="4"/>
        </w:numPr>
      </w:pPr>
      <w:r w:rsidRPr="00A06012">
        <w:t xml:space="preserve">A greater share of the low income of men with disabilities younger than 45 years consists of wages and salaries compared with their female counterparts, </w:t>
      </w:r>
      <w:r w:rsidR="00966019">
        <w:t>i.e.,</w:t>
      </w:r>
      <w:r w:rsidRPr="00A06012">
        <w:t xml:space="preserve"> 55.7% vs. 30.3% among youth </w:t>
      </w:r>
      <w:r w:rsidR="00966019">
        <w:t xml:space="preserve">aged </w:t>
      </w:r>
      <w:r w:rsidRPr="00A06012">
        <w:t xml:space="preserve">16 to 29 years and 30.3% vs. 20.1% who are </w:t>
      </w:r>
      <w:r w:rsidRPr="00A06012">
        <w:lastRenderedPageBreak/>
        <w:t xml:space="preserve">30 to 44 years. In contrast, a greater share of the income of poor women </w:t>
      </w:r>
      <w:r w:rsidR="00184675">
        <w:t xml:space="preserve">than men </w:t>
      </w:r>
      <w:r w:rsidRPr="00A06012">
        <w:t xml:space="preserve">with disabilities 45 to 64 years is from wages and salaries, </w:t>
      </w:r>
      <w:r w:rsidR="00966019">
        <w:t>i.e.,</w:t>
      </w:r>
      <w:r w:rsidRPr="00A06012">
        <w:t xml:space="preserve"> 16.7% vs. 12.6% among </w:t>
      </w:r>
      <w:r w:rsidR="00F23F70">
        <w:t>women</w:t>
      </w:r>
      <w:r w:rsidRPr="00A06012">
        <w:t xml:space="preserve"> 45 to 54 </w:t>
      </w:r>
      <w:r w:rsidR="00F23F70">
        <w:t>years and 14.3% vs. 7.7% among women</w:t>
      </w:r>
      <w:r w:rsidRPr="00A06012">
        <w:t xml:space="preserve"> </w:t>
      </w:r>
      <w:r w:rsidR="00966019">
        <w:t xml:space="preserve">aged </w:t>
      </w:r>
      <w:r w:rsidRPr="00A06012">
        <w:t>55 to 64 years.</w:t>
      </w:r>
    </w:p>
    <w:p w:rsidR="00C37B00" w:rsidRPr="00A06012" w:rsidRDefault="00C37B00" w:rsidP="00C37B00">
      <w:pPr>
        <w:numPr>
          <w:ilvl w:val="0"/>
          <w:numId w:val="4"/>
        </w:numPr>
      </w:pPr>
      <w:r w:rsidRPr="00A06012">
        <w:t>As the share of income from wages and salaries decreases in the working years for low income men and women with disabilities, their share of income from the Canada/Quebec Pension Plans – which includes Disability Benefits in SLID – increases.</w:t>
      </w:r>
    </w:p>
    <w:p w:rsidR="00C37B00" w:rsidRPr="00A06012" w:rsidRDefault="00C37B00" w:rsidP="00C37B00">
      <w:pPr>
        <w:numPr>
          <w:ilvl w:val="0"/>
          <w:numId w:val="4"/>
        </w:numPr>
      </w:pPr>
      <w:r w:rsidRPr="00A06012">
        <w:t xml:space="preserve">Compared with their working-age counterparts, the proportion of government transfer income is </w:t>
      </w:r>
      <w:r w:rsidR="001442F7">
        <w:t>very high a</w:t>
      </w:r>
      <w:r w:rsidRPr="00A06012">
        <w:t xml:space="preserve">mong </w:t>
      </w:r>
      <w:r w:rsidR="00184675">
        <w:t>poor</w:t>
      </w:r>
      <w:r w:rsidR="00F23F70">
        <w:t xml:space="preserve"> senior men and women with disabilities</w:t>
      </w:r>
      <w:r w:rsidR="001442F7">
        <w:t xml:space="preserve"> (</w:t>
      </w:r>
      <w:r w:rsidRPr="00A06012">
        <w:t>96.6% and 96.4% respectively</w:t>
      </w:r>
      <w:r w:rsidR="001442F7">
        <w:t>)</w:t>
      </w:r>
      <w:r w:rsidRPr="00A06012">
        <w:t>.</w:t>
      </w:r>
    </w:p>
    <w:p w:rsidR="00C37B00" w:rsidRPr="00A06012" w:rsidRDefault="00C37B00" w:rsidP="00C37B00">
      <w:pPr>
        <w:numPr>
          <w:ilvl w:val="0"/>
          <w:numId w:val="4"/>
        </w:numPr>
      </w:pPr>
      <w:r w:rsidRPr="00A06012">
        <w:t xml:space="preserve">The OAS/GIS are </w:t>
      </w:r>
      <w:r w:rsidR="00184675">
        <w:t>very</w:t>
      </w:r>
      <w:r w:rsidRPr="00A06012">
        <w:t xml:space="preserve"> important sources of income for poor seniors</w:t>
      </w:r>
      <w:r w:rsidR="00184675">
        <w:t xml:space="preserve"> regardless of disability</w:t>
      </w:r>
      <w:r w:rsidRPr="00A06012">
        <w:t xml:space="preserve">, comprising 68.2% among poor seniors with disabilities and 69.5% among poor seniors without disabilities. The C/QPP is also </w:t>
      </w:r>
      <w:r w:rsidR="00184675">
        <w:t>very</w:t>
      </w:r>
      <w:r w:rsidRPr="00A06012">
        <w:t xml:space="preserve"> important, comprising 18.7% and 17.3%</w:t>
      </w:r>
      <w:r w:rsidR="00184675">
        <w:t xml:space="preserve"> of total income</w:t>
      </w:r>
      <w:r w:rsidRPr="00A06012">
        <w:t>, respectively.</w:t>
      </w:r>
    </w:p>
    <w:p w:rsidR="00C37B00" w:rsidRPr="00A06012" w:rsidRDefault="00C37B00" w:rsidP="00C37B00">
      <w:pPr>
        <w:numPr>
          <w:ilvl w:val="0"/>
          <w:numId w:val="4"/>
        </w:numPr>
      </w:pPr>
      <w:r w:rsidRPr="00A06012">
        <w:t xml:space="preserve">Low income senior men with disabilities have a greater proportion of income than their female counterparts from the C/QPP (22.8% vs. 17.5%), private pensions (6.5% vs. 2.6%) and investments (3.9% vs. 1.0%). They also experience a greater loss </w:t>
      </w:r>
      <w:r w:rsidR="001442F7">
        <w:t>of</w:t>
      </w:r>
      <w:r w:rsidRPr="00A06012">
        <w:t xml:space="preserve"> total income </w:t>
      </w:r>
      <w:r w:rsidR="00184675" w:rsidRPr="00A06012">
        <w:t>(7.8% vs. 0.3%)</w:t>
      </w:r>
      <w:r w:rsidR="00184675">
        <w:t xml:space="preserve"> </w:t>
      </w:r>
      <w:r w:rsidR="001442F7">
        <w:t>due to</w:t>
      </w:r>
      <w:r w:rsidRPr="00A06012">
        <w:t xml:space="preserve"> self-employment.</w:t>
      </w:r>
    </w:p>
    <w:p w:rsidR="00C37B00" w:rsidRDefault="00D42FBF" w:rsidP="00D91224">
      <w:pPr>
        <w:pStyle w:val="Heading1"/>
        <w:sectPr w:rsidR="00C37B00" w:rsidSect="00C37B00">
          <w:headerReference w:type="default" r:id="rId17"/>
          <w:footerReference w:type="default" r:id="rId18"/>
          <w:pgSz w:w="12240" w:h="15840"/>
          <w:pgMar w:top="1440" w:right="1440" w:bottom="1440" w:left="1440" w:header="708" w:footer="708" w:gutter="0"/>
          <w:pgNumType w:fmt="lowerRoman" w:start="1"/>
          <w:cols w:space="708"/>
          <w:docGrid w:linePitch="360"/>
        </w:sectPr>
      </w:pPr>
      <w:r>
        <w:br w:type="page"/>
      </w:r>
    </w:p>
    <w:p w:rsidR="002945D5" w:rsidRDefault="00D91224" w:rsidP="00D91224">
      <w:pPr>
        <w:pStyle w:val="Heading1"/>
      </w:pPr>
      <w:bookmarkStart w:id="3" w:name="_Toc361342885"/>
      <w:r>
        <w:lastRenderedPageBreak/>
        <w:t>Introduction</w:t>
      </w:r>
      <w:bookmarkEnd w:id="1"/>
      <w:bookmarkEnd w:id="2"/>
      <w:bookmarkEnd w:id="3"/>
    </w:p>
    <w:p w:rsidR="00823BAC" w:rsidRPr="00D73C6F" w:rsidRDefault="002945D5" w:rsidP="00823BAC">
      <w:r w:rsidRPr="00A573EF">
        <w:t xml:space="preserve">This report provides a statistical </w:t>
      </w:r>
      <w:r w:rsidR="00A40641" w:rsidRPr="00A573EF">
        <w:t>look at</w:t>
      </w:r>
      <w:r w:rsidRPr="00A573EF">
        <w:t xml:space="preserve"> the </w:t>
      </w:r>
      <w:r w:rsidR="00A40641" w:rsidRPr="00A573EF">
        <w:t xml:space="preserve">personal </w:t>
      </w:r>
      <w:r w:rsidR="00FD31CD" w:rsidRPr="00A573EF">
        <w:t xml:space="preserve">income </w:t>
      </w:r>
      <w:r w:rsidRPr="00A573EF">
        <w:t xml:space="preserve">sources of people with disabilities who live </w:t>
      </w:r>
      <w:r w:rsidR="00A40641" w:rsidRPr="00A573EF">
        <w:t>i</w:t>
      </w:r>
      <w:r w:rsidRPr="00A573EF">
        <w:t xml:space="preserve">n low </w:t>
      </w:r>
      <w:r w:rsidR="00A40641" w:rsidRPr="00A573EF">
        <w:t xml:space="preserve">income </w:t>
      </w:r>
      <w:r w:rsidRPr="00A573EF">
        <w:t>household</w:t>
      </w:r>
      <w:r w:rsidR="001111DA">
        <w:t>s</w:t>
      </w:r>
      <w:r w:rsidRPr="00A573EF">
        <w:t xml:space="preserve"> in Canada.</w:t>
      </w:r>
      <w:r w:rsidR="00FD31CD" w:rsidRPr="00A573EF">
        <w:t xml:space="preserve"> These are people who </w:t>
      </w:r>
      <w:r w:rsidR="00B60248">
        <w:t>live in ‘straightened circumstances’</w:t>
      </w:r>
      <w:r w:rsidR="009E3F16">
        <w:t xml:space="preserve"> (Statistics Canada, 2009)</w:t>
      </w:r>
      <w:r w:rsidR="00B60248">
        <w:t xml:space="preserve">, </w:t>
      </w:r>
      <w:r w:rsidR="00FD31CD" w:rsidRPr="00A573EF">
        <w:t>are sometimes referred to as living below the ‘poverty line’</w:t>
      </w:r>
      <w:r w:rsidR="005F3944" w:rsidRPr="00A573EF">
        <w:t xml:space="preserve"> (</w:t>
      </w:r>
      <w:r w:rsidR="0043183E" w:rsidRPr="00A573EF">
        <w:t>National Council of Welfare [</w:t>
      </w:r>
      <w:r w:rsidR="005F3944" w:rsidRPr="00A573EF">
        <w:t>NCW</w:t>
      </w:r>
      <w:r w:rsidR="0043183E" w:rsidRPr="00A573EF">
        <w:t>], 2010</w:t>
      </w:r>
      <w:r w:rsidR="0024518C" w:rsidRPr="00A573EF">
        <w:t>)</w:t>
      </w:r>
      <w:r w:rsidR="00B60248">
        <w:t xml:space="preserve"> and </w:t>
      </w:r>
      <w:r w:rsidR="008F604D">
        <w:t>ar</w:t>
      </w:r>
      <w:r w:rsidR="00B60248">
        <w:t xml:space="preserve">e </w:t>
      </w:r>
      <w:r w:rsidR="001C5101">
        <w:t xml:space="preserve">here </w:t>
      </w:r>
      <w:r w:rsidR="00B60248">
        <w:t>referred to as ‘poor’</w:t>
      </w:r>
      <w:r w:rsidR="005D2269">
        <w:t xml:space="preserve"> or as having ‘low income’</w:t>
      </w:r>
      <w:r w:rsidR="00B60248">
        <w:t>.</w:t>
      </w:r>
      <w:r w:rsidR="00823BAC" w:rsidRPr="00D73C6F">
        <w:t xml:space="preserve"> </w:t>
      </w:r>
      <w:r w:rsidR="00823BAC" w:rsidRPr="00A573EF">
        <w:t xml:space="preserve">The report </w:t>
      </w:r>
      <w:r w:rsidR="00C429AC">
        <w:t xml:space="preserve">is one piece of work that was completed for the Community-University Research Alliance </w:t>
      </w:r>
      <w:r w:rsidR="003C7865">
        <w:t xml:space="preserve">(CURA) </w:t>
      </w:r>
      <w:r w:rsidR="00C429AC">
        <w:t xml:space="preserve">led by the Council of Canadians with Disabilities </w:t>
      </w:r>
      <w:r w:rsidR="003C7865">
        <w:t xml:space="preserve">(CCD) </w:t>
      </w:r>
      <w:r w:rsidR="00C429AC">
        <w:t xml:space="preserve">entitled, </w:t>
      </w:r>
      <w:r w:rsidR="00C429AC" w:rsidRPr="00C429AC">
        <w:t>‘Disabling Poverty / Enabling Citizenship’</w:t>
      </w:r>
      <w:r w:rsidR="00C429AC">
        <w:t xml:space="preserve">. </w:t>
      </w:r>
      <w:r w:rsidR="003C7865">
        <w:t xml:space="preserve">(For more information see </w:t>
      </w:r>
      <w:hyperlink r:id="rId19" w:history="1">
        <w:r w:rsidR="003C7865" w:rsidRPr="00176F5A">
          <w:rPr>
            <w:rStyle w:val="Hyperlink"/>
          </w:rPr>
          <w:t>www.ccdonline.ca</w:t>
        </w:r>
      </w:hyperlink>
      <w:r w:rsidR="003C7865">
        <w:t xml:space="preserve"> and </w:t>
      </w:r>
      <w:hyperlink r:id="rId20" w:history="1">
        <w:r w:rsidR="003C7865" w:rsidRPr="00176F5A">
          <w:rPr>
            <w:rStyle w:val="Hyperlink"/>
          </w:rPr>
          <w:t>http://www.ccdonline.ca/en/socialpolicy/poverty-citizenship</w:t>
        </w:r>
      </w:hyperlink>
      <w:r w:rsidR="003C7865">
        <w:t>.)</w:t>
      </w:r>
      <w:r w:rsidR="003C7865">
        <w:t xml:space="preserve"> </w:t>
      </w:r>
      <w:bookmarkStart w:id="4" w:name="_GoBack"/>
      <w:bookmarkEnd w:id="4"/>
      <w:r w:rsidR="00C429AC">
        <w:t xml:space="preserve">The present research </w:t>
      </w:r>
      <w:r w:rsidR="00823BAC" w:rsidRPr="00A573EF">
        <w:t>draws</w:t>
      </w:r>
      <w:r w:rsidR="00E66DAA">
        <w:t xml:space="preserve"> largely</w:t>
      </w:r>
      <w:r w:rsidR="00823BAC" w:rsidRPr="00A573EF">
        <w:t xml:space="preserve"> from the public use </w:t>
      </w:r>
      <w:proofErr w:type="spellStart"/>
      <w:r w:rsidR="00823BAC" w:rsidRPr="00A573EF">
        <w:t>microdata</w:t>
      </w:r>
      <w:proofErr w:type="spellEnd"/>
      <w:r w:rsidR="00823BAC" w:rsidRPr="00A573EF">
        <w:t xml:space="preserve"> file (PUMF) of the 2009 Survey of Labour and Income Dynamics (SLID).</w:t>
      </w:r>
    </w:p>
    <w:p w:rsidR="00060478" w:rsidRPr="00A573EF" w:rsidRDefault="00823BAC">
      <w:r>
        <w:t xml:space="preserve">IRIS is examining this issue to better understand some of the facts </w:t>
      </w:r>
      <w:r w:rsidR="00D75344">
        <w:t>inside</w:t>
      </w:r>
      <w:r>
        <w:t xml:space="preserve"> the income situation of poor people with disabilities. As will be shown, working-age people with disabilities are about twice as likely as other Canadians to live below the poverty line. </w:t>
      </w:r>
      <w:r w:rsidR="00410BF6" w:rsidRPr="00410BF6">
        <w:t xml:space="preserve">Their average income is low indeed: $10,335 in 2009 compared with $11,940 among working-age poor people without disabilities and nearly $42,000 among working-age people without disabilities whose incomes are at or above the poverty line. </w:t>
      </w:r>
      <w:r w:rsidR="002E16A1">
        <w:t>Practically</w:t>
      </w:r>
      <w:r w:rsidR="00410BF6" w:rsidRPr="00410BF6">
        <w:t xml:space="preserve"> two-thirds of the total income </w:t>
      </w:r>
      <w:r w:rsidR="002E16A1">
        <w:t xml:space="preserve">of working-age poor people with disabilities </w:t>
      </w:r>
      <w:r w:rsidR="00410BF6" w:rsidRPr="00410BF6">
        <w:t>(65.2%) is from government transfers and only about a third (34.8%) is from private market sources; wages and salaries (23.7%) and self-employment (2.5%) comprise about a quarter.</w:t>
      </w:r>
      <w:r w:rsidR="00410BF6">
        <w:t xml:space="preserve"> T</w:t>
      </w:r>
      <w:r w:rsidR="00FF4C98" w:rsidRPr="00A573EF">
        <w:t xml:space="preserve">he </w:t>
      </w:r>
      <w:r w:rsidR="00410BF6">
        <w:t xml:space="preserve">single largest component of the incomes of </w:t>
      </w:r>
      <w:r w:rsidR="00AC7561">
        <w:t xml:space="preserve">working-age poor </w:t>
      </w:r>
      <w:r w:rsidR="00FD31CD" w:rsidRPr="00A573EF">
        <w:t xml:space="preserve">people with disabilities </w:t>
      </w:r>
      <w:r w:rsidR="00410BF6">
        <w:t>is social assistance</w:t>
      </w:r>
      <w:r w:rsidR="00AC7561">
        <w:t xml:space="preserve">, followed next by federal and provincial child benefits and the </w:t>
      </w:r>
      <w:r w:rsidR="002E16A1" w:rsidRPr="00A573EF">
        <w:t>Canada and Quebec Pension Plans</w:t>
      </w:r>
      <w:r w:rsidR="002E16A1">
        <w:t xml:space="preserve"> (</w:t>
      </w:r>
      <w:r w:rsidR="00AC7561">
        <w:t>C/QPP</w:t>
      </w:r>
      <w:r w:rsidR="002E16A1">
        <w:t>)</w:t>
      </w:r>
      <w:r w:rsidR="008736FC" w:rsidRPr="00A573EF">
        <w:t>. For low</w:t>
      </w:r>
      <w:r w:rsidR="00311FFB" w:rsidRPr="00A573EF">
        <w:t xml:space="preserve"> </w:t>
      </w:r>
      <w:r w:rsidR="008736FC" w:rsidRPr="00A573EF">
        <w:t xml:space="preserve">income people without disabilities, market income – primarily </w:t>
      </w:r>
      <w:r w:rsidR="00FC278C" w:rsidRPr="00A573EF">
        <w:t xml:space="preserve">from </w:t>
      </w:r>
      <w:r w:rsidR="008736FC" w:rsidRPr="00A573EF">
        <w:t xml:space="preserve">employment – is the single largest component of their </w:t>
      </w:r>
      <w:r w:rsidR="00FF4C98" w:rsidRPr="00A573EF">
        <w:t>income.</w:t>
      </w:r>
      <w:r w:rsidR="007D6F82" w:rsidRPr="00A573EF">
        <w:t xml:space="preserve"> The exact contours of these </w:t>
      </w:r>
      <w:r w:rsidR="00E960FB" w:rsidRPr="00A573EF">
        <w:t>patterns</w:t>
      </w:r>
      <w:r w:rsidR="007D6F82" w:rsidRPr="00A573EF">
        <w:t xml:space="preserve"> </w:t>
      </w:r>
      <w:r w:rsidR="00E960FB" w:rsidRPr="00A573EF">
        <w:t xml:space="preserve">vary by </w:t>
      </w:r>
      <w:r w:rsidR="005F3944" w:rsidRPr="00A573EF">
        <w:t xml:space="preserve">province, </w:t>
      </w:r>
      <w:r w:rsidR="000E2B78">
        <w:t xml:space="preserve">living arrangement, </w:t>
      </w:r>
      <w:r w:rsidR="00E960FB" w:rsidRPr="00A573EF">
        <w:t>age</w:t>
      </w:r>
      <w:r w:rsidR="000E2B78">
        <w:t xml:space="preserve"> and</w:t>
      </w:r>
      <w:r w:rsidR="00E960FB" w:rsidRPr="00A573EF">
        <w:t xml:space="preserve"> gender</w:t>
      </w:r>
      <w:r w:rsidR="002E16A1">
        <w:t>.  The</w:t>
      </w:r>
      <w:r w:rsidR="007C0B9E" w:rsidRPr="00A573EF">
        <w:t xml:space="preserve"> C</w:t>
      </w:r>
      <w:r w:rsidR="003D691F">
        <w:t>/QPP comprise</w:t>
      </w:r>
      <w:r w:rsidR="007F413F">
        <w:t>s</w:t>
      </w:r>
      <w:r w:rsidR="007C0B9E" w:rsidRPr="00A573EF">
        <w:t xml:space="preserve"> a greater </w:t>
      </w:r>
      <w:r w:rsidR="002A30C0" w:rsidRPr="00A573EF">
        <w:t>share of</w:t>
      </w:r>
      <w:r w:rsidR="007C0B9E" w:rsidRPr="00A573EF">
        <w:t xml:space="preserve"> the </w:t>
      </w:r>
      <w:r w:rsidR="002A30C0" w:rsidRPr="00A573EF">
        <w:t>income</w:t>
      </w:r>
      <w:r w:rsidR="000A090D">
        <w:t>s</w:t>
      </w:r>
      <w:r w:rsidR="007C0B9E" w:rsidRPr="00A573EF">
        <w:t xml:space="preserve"> of</w:t>
      </w:r>
      <w:r w:rsidR="00AC7561">
        <w:t xml:space="preserve"> low income</w:t>
      </w:r>
      <w:r w:rsidR="007C0B9E" w:rsidRPr="00A573EF">
        <w:t xml:space="preserve"> men and women with disabilities as they approach the retirement years</w:t>
      </w:r>
      <w:r w:rsidR="003D691F">
        <w:t>. C</w:t>
      </w:r>
      <w:r w:rsidR="005F3944" w:rsidRPr="00A573EF">
        <w:t>hild benefits compris</w:t>
      </w:r>
      <w:r w:rsidR="003D691F">
        <w:t>e</w:t>
      </w:r>
      <w:r w:rsidR="005F3944" w:rsidRPr="00A573EF">
        <w:t xml:space="preserve"> a significant share </w:t>
      </w:r>
      <w:r w:rsidR="00311FFB" w:rsidRPr="00A573EF">
        <w:t xml:space="preserve">of </w:t>
      </w:r>
      <w:r w:rsidR="00D42FBF">
        <w:t xml:space="preserve">the </w:t>
      </w:r>
      <w:r w:rsidR="00311FFB" w:rsidRPr="00A573EF">
        <w:t xml:space="preserve">incomes </w:t>
      </w:r>
      <w:r w:rsidR="00D42FBF">
        <w:t>of</w:t>
      </w:r>
      <w:r w:rsidR="00311FFB" w:rsidRPr="00A573EF">
        <w:t xml:space="preserve"> poor wo</w:t>
      </w:r>
      <w:r w:rsidR="005F3944" w:rsidRPr="00A573EF">
        <w:t>men regardless of disability</w:t>
      </w:r>
      <w:r w:rsidR="007C0B9E" w:rsidRPr="00A573EF">
        <w:t>.</w:t>
      </w:r>
      <w:r w:rsidR="007F4D3F">
        <w:t xml:space="preserve"> </w:t>
      </w:r>
      <w:r w:rsidR="007F413F">
        <w:t>The OAS/GIS and C/QPP are very important sources of income among poor seniors, again irrespective of disability.</w:t>
      </w:r>
    </w:p>
    <w:p w:rsidR="007863CA" w:rsidRDefault="00D42FBF">
      <w:r>
        <w:t>Following this I</w:t>
      </w:r>
      <w:r w:rsidR="00B42954">
        <w:t>ntroduction, the r</w:t>
      </w:r>
      <w:r>
        <w:t xml:space="preserve">eport provides </w:t>
      </w:r>
      <w:r w:rsidR="00AD148B">
        <w:t>some n</w:t>
      </w:r>
      <w:r w:rsidR="000A6B42">
        <w:t>otes</w:t>
      </w:r>
      <w:r w:rsidR="00AD148B">
        <w:t xml:space="preserve"> on m</w:t>
      </w:r>
      <w:r w:rsidR="00B42954">
        <w:t xml:space="preserve">ethod and </w:t>
      </w:r>
      <w:r w:rsidR="00AD148B">
        <w:t>t</w:t>
      </w:r>
      <w:r w:rsidR="00B42954">
        <w:t>erms used.</w:t>
      </w:r>
      <w:r w:rsidR="000A6B42">
        <w:t xml:space="preserve"> </w:t>
      </w:r>
      <w:r w:rsidR="00B42954">
        <w:t xml:space="preserve">The Key Findings </w:t>
      </w:r>
      <w:r w:rsidR="00513EEF">
        <w:t xml:space="preserve">section </w:t>
      </w:r>
      <w:r w:rsidR="00B42954">
        <w:t xml:space="preserve">is organized according to province, living arrangements and gender and age. </w:t>
      </w:r>
      <w:r w:rsidR="003D691F">
        <w:t xml:space="preserve">Demographic context information is provided for each of these discussions. </w:t>
      </w:r>
      <w:r w:rsidR="00513EEF">
        <w:t xml:space="preserve">The discussions </w:t>
      </w:r>
      <w:r w:rsidR="00933401">
        <w:t xml:space="preserve">on province and living arrangements </w:t>
      </w:r>
      <w:r w:rsidR="00513EEF">
        <w:t xml:space="preserve">provide detailed analysis of the income situations of </w:t>
      </w:r>
      <w:r w:rsidR="00EA6286">
        <w:t xml:space="preserve">working-age </w:t>
      </w:r>
      <w:r w:rsidR="00513EEF">
        <w:t xml:space="preserve">poor people </w:t>
      </w:r>
      <w:r w:rsidR="00EA6286">
        <w:t xml:space="preserve">(aged 16 to 64 years) </w:t>
      </w:r>
      <w:r w:rsidR="00513EEF">
        <w:t>with and without disabilities</w:t>
      </w:r>
      <w:r w:rsidR="003D691F">
        <w:t>. The discussions then</w:t>
      </w:r>
      <w:r w:rsidR="00513EEF">
        <w:t xml:space="preserve"> summarize key patterns common to </w:t>
      </w:r>
      <w:r w:rsidR="00933401">
        <w:t xml:space="preserve">both groups and that </w:t>
      </w:r>
      <w:r w:rsidR="00513EEF">
        <w:t xml:space="preserve">are unique to people with disabilities. </w:t>
      </w:r>
      <w:r w:rsidR="000A6B42">
        <w:t xml:space="preserve">The discussion on age and gender </w:t>
      </w:r>
      <w:r w:rsidR="000A6B42">
        <w:lastRenderedPageBreak/>
        <w:t xml:space="preserve">widens the focus </w:t>
      </w:r>
      <w:r w:rsidR="00EA6286">
        <w:t xml:space="preserve">beyond the working years </w:t>
      </w:r>
      <w:r w:rsidR="000A6B42">
        <w:t xml:space="preserve">to include seniors with and without disabilities. The Conclusion </w:t>
      </w:r>
      <w:r w:rsidR="002E16A1">
        <w:t>provides</w:t>
      </w:r>
      <w:r w:rsidR="000A6B42">
        <w:t xml:space="preserve"> a summary of key findings and a brief discussion o</w:t>
      </w:r>
      <w:r w:rsidR="00544317">
        <w:t>f</w:t>
      </w:r>
      <w:r w:rsidR="000A6B42">
        <w:t xml:space="preserve"> some policy implications. </w:t>
      </w:r>
      <w:r w:rsidR="00AD148B">
        <w:t xml:space="preserve">The </w:t>
      </w:r>
      <w:r w:rsidR="00A72A73">
        <w:t xml:space="preserve">Appendix provides descriptions of government transfer income sources discussed in this </w:t>
      </w:r>
      <w:r w:rsidR="00544317">
        <w:t>report</w:t>
      </w:r>
      <w:r w:rsidR="00A72A73">
        <w:t xml:space="preserve">. The </w:t>
      </w:r>
      <w:r w:rsidR="00BA123B">
        <w:t>charts</w:t>
      </w:r>
      <w:r w:rsidR="00AD148B">
        <w:t xml:space="preserve"> in the Appendix show selected information for people with and without disabilities at the Canada level and for people with disabilities in Alberta and Newfoundland and Labrador. The amounts of income from various sources among poor people with disabilities look quite different in Alberta as compared with Newfoundland and Labrador. It was felt that graphic representation might give the reader a better sense of how incomes are distributed across various sources when these two quite different provincial examples are brought into view.</w:t>
      </w:r>
      <w:r w:rsidR="00A72A73">
        <w:t xml:space="preserve"> The </w:t>
      </w:r>
      <w:r w:rsidR="00B42954">
        <w:t xml:space="preserve">Appendix contains </w:t>
      </w:r>
      <w:r w:rsidR="00A72A73">
        <w:t xml:space="preserve">the </w:t>
      </w:r>
      <w:r w:rsidR="00B42954">
        <w:t>three large tables that were the basis for most of the analysis and findings</w:t>
      </w:r>
      <w:r w:rsidR="00FF5AAA">
        <w:t xml:space="preserve"> (Appendix Tables A1 – A3)</w:t>
      </w:r>
      <w:r w:rsidR="00B42954">
        <w:t>.</w:t>
      </w:r>
      <w:r w:rsidR="00A72A73">
        <w:t xml:space="preserve"> The Appendix </w:t>
      </w:r>
      <w:r w:rsidR="00FF5AAA">
        <w:t>also has a table that shows the after-tax incomes of people with and without disabilities below and above the poverty line</w:t>
      </w:r>
      <w:r w:rsidR="00EA6286">
        <w:t xml:space="preserve">, a table on </w:t>
      </w:r>
      <w:r w:rsidR="00DA629B">
        <w:t xml:space="preserve">individual withdrawals from </w:t>
      </w:r>
      <w:r w:rsidR="00EA6286">
        <w:t>Registered Retirement Savings Plan</w:t>
      </w:r>
      <w:r w:rsidR="00DA629B">
        <w:t>s</w:t>
      </w:r>
      <w:r w:rsidR="00EA6286">
        <w:t xml:space="preserve"> (RRSP</w:t>
      </w:r>
      <w:r w:rsidR="00DA629B">
        <w:t>s</w:t>
      </w:r>
      <w:r w:rsidR="00EA6286">
        <w:t>)</w:t>
      </w:r>
      <w:r w:rsidR="00FF5AAA">
        <w:t xml:space="preserve"> and </w:t>
      </w:r>
      <w:r w:rsidR="00EA6286">
        <w:t xml:space="preserve">a </w:t>
      </w:r>
      <w:r w:rsidR="00FF5AAA">
        <w:t xml:space="preserve">table that provides information </w:t>
      </w:r>
      <w:r w:rsidR="007F1153">
        <w:t>about</w:t>
      </w:r>
      <w:r w:rsidR="00FF5AAA">
        <w:t xml:space="preserve"> social assistance recipients.</w:t>
      </w:r>
      <w:r w:rsidR="00B42954">
        <w:t xml:space="preserve"> </w:t>
      </w:r>
    </w:p>
    <w:p w:rsidR="00BD609A" w:rsidRPr="00A573EF" w:rsidRDefault="00BD609A">
      <w:r>
        <w:t>Sincere thanks are extended to Dr. Michael J. Prince (</w:t>
      </w:r>
      <w:r w:rsidRPr="00BD609A">
        <w:t>Lansdowne Professor of Social Policy</w:t>
      </w:r>
      <w:r w:rsidR="0055260D">
        <w:t xml:space="preserve">, University of Victoria) and Adele Furrie (President and CEO, Adele Furrie Consulting Inc.), </w:t>
      </w:r>
      <w:r>
        <w:t>who patiently reviewed a draft of this report and provided</w:t>
      </w:r>
      <w:r w:rsidR="003A1A6F">
        <w:t>, as always,</w:t>
      </w:r>
      <w:r>
        <w:t xml:space="preserve"> most helpful comments.</w:t>
      </w:r>
    </w:p>
    <w:p w:rsidR="007863CA" w:rsidRPr="00D91224" w:rsidRDefault="007863CA" w:rsidP="00D91224">
      <w:pPr>
        <w:pStyle w:val="Heading1"/>
      </w:pPr>
      <w:bookmarkStart w:id="5" w:name="_Toc354136994"/>
      <w:bookmarkStart w:id="6" w:name="_Toc354137349"/>
      <w:bookmarkStart w:id="7" w:name="_Toc361342886"/>
      <w:r w:rsidRPr="00D91224">
        <w:t>Notes on Method and Terms Used</w:t>
      </w:r>
      <w:bookmarkEnd w:id="5"/>
      <w:bookmarkEnd w:id="6"/>
      <w:bookmarkEnd w:id="7"/>
    </w:p>
    <w:p w:rsidR="007863CA" w:rsidRPr="00D91224" w:rsidRDefault="007863CA" w:rsidP="000146E9">
      <w:pPr>
        <w:pStyle w:val="Heading2"/>
      </w:pPr>
      <w:bookmarkStart w:id="8" w:name="_Toc354136995"/>
      <w:bookmarkStart w:id="9" w:name="_Toc354137350"/>
      <w:bookmarkStart w:id="10" w:name="_Toc361342887"/>
      <w:r w:rsidRPr="00D91224">
        <w:t>S</w:t>
      </w:r>
      <w:r w:rsidR="0077393A" w:rsidRPr="00D91224">
        <w:t>urvey of Labour and Income Dynamics (S</w:t>
      </w:r>
      <w:r w:rsidRPr="00D91224">
        <w:t>LID</w:t>
      </w:r>
      <w:r w:rsidR="0077393A" w:rsidRPr="00D91224">
        <w:t>)</w:t>
      </w:r>
      <w:bookmarkEnd w:id="8"/>
      <w:bookmarkEnd w:id="9"/>
      <w:bookmarkEnd w:id="10"/>
    </w:p>
    <w:p w:rsidR="00766FC9" w:rsidRPr="00A573EF" w:rsidRDefault="00171EA8">
      <w:r w:rsidRPr="00A573EF">
        <w:t>SLID is a large Statistics Canada survey that is conducted annually</w:t>
      </w:r>
      <w:r w:rsidR="000E2B78">
        <w:t xml:space="preserve">. It has </w:t>
      </w:r>
      <w:r w:rsidRPr="00A573EF">
        <w:t xml:space="preserve">provided a wealth of information on the income, employment and </w:t>
      </w:r>
      <w:r w:rsidR="00A1551C" w:rsidRPr="00A573EF">
        <w:t>other socio-demographic characteristics</w:t>
      </w:r>
      <w:r w:rsidRPr="00A573EF">
        <w:t xml:space="preserve"> of Canadian adults 16 years and older. </w:t>
      </w:r>
      <w:r w:rsidR="000101A5" w:rsidRPr="00A573EF">
        <w:t>SLID is a household survey that covers all individuals in Canada, excluding residents of Yukon, the Northwest Territories</w:t>
      </w:r>
      <w:r w:rsidR="000A6B42">
        <w:t>,</w:t>
      </w:r>
      <w:r w:rsidR="000101A5" w:rsidRPr="00A573EF">
        <w:t xml:space="preserve"> Nunavut, residents of institutions and persons living on Indian reserves or in military barracks. </w:t>
      </w:r>
      <w:r w:rsidRPr="00A573EF">
        <w:t>I</w:t>
      </w:r>
      <w:r w:rsidR="00A1551C" w:rsidRPr="00A573EF">
        <w:t xml:space="preserve">t was originally conceived </w:t>
      </w:r>
      <w:r w:rsidRPr="00A573EF">
        <w:t xml:space="preserve">as a longitudinal file, i.e., it surveyed </w:t>
      </w:r>
      <w:r w:rsidR="0077393A" w:rsidRPr="00A573EF">
        <w:t xml:space="preserve">‘panels’ of </w:t>
      </w:r>
      <w:r w:rsidRPr="00A573EF">
        <w:t>the same people for several years running to provide a view of changes experienced by individuals and families through time. As of 2012</w:t>
      </w:r>
      <w:r w:rsidR="000101A5" w:rsidRPr="00A573EF">
        <w:t>, however,</w:t>
      </w:r>
      <w:r w:rsidRPr="00A573EF">
        <w:t xml:space="preserve"> only the cross-sectional ver</w:t>
      </w:r>
      <w:r w:rsidR="00A1551C" w:rsidRPr="00A573EF">
        <w:t xml:space="preserve">sion of SLID is being conducted, i.e., </w:t>
      </w:r>
      <w:r w:rsidR="0032079C" w:rsidRPr="00A573EF">
        <w:t xml:space="preserve">SLID no longer </w:t>
      </w:r>
      <w:r w:rsidR="00A1551C" w:rsidRPr="00A573EF">
        <w:t>resurvey</w:t>
      </w:r>
      <w:r w:rsidR="0032079C" w:rsidRPr="00A573EF">
        <w:t>s</w:t>
      </w:r>
      <w:r w:rsidR="00A1551C" w:rsidRPr="00A573EF">
        <w:t xml:space="preserve"> the same people over several years</w:t>
      </w:r>
      <w:r w:rsidR="0077393A" w:rsidRPr="00A573EF">
        <w:t xml:space="preserve"> but instead samples from the population as a whole</w:t>
      </w:r>
      <w:r w:rsidR="00D91224" w:rsidRPr="00A573EF">
        <w:t xml:space="preserve"> each time it is conducted</w:t>
      </w:r>
      <w:r w:rsidR="00A1551C" w:rsidRPr="00A573EF">
        <w:t>. Th</w:t>
      </w:r>
      <w:r w:rsidRPr="00A573EF">
        <w:t xml:space="preserve">e last year </w:t>
      </w:r>
      <w:r w:rsidR="00A1551C" w:rsidRPr="00A573EF">
        <w:t>for which</w:t>
      </w:r>
      <w:r w:rsidRPr="00A573EF">
        <w:t xml:space="preserve"> longitudinal data </w:t>
      </w:r>
      <w:r w:rsidR="002832B0">
        <w:t>are</w:t>
      </w:r>
      <w:r w:rsidRPr="00A573EF">
        <w:t xml:space="preserve"> </w:t>
      </w:r>
      <w:r w:rsidR="00A1551C" w:rsidRPr="00A573EF">
        <w:t>available is</w:t>
      </w:r>
      <w:r w:rsidRPr="00A573EF">
        <w:t xml:space="preserve"> 2011 (Statistics Canada, 2012).</w:t>
      </w:r>
      <w:r w:rsidR="0024518C" w:rsidRPr="00A573EF">
        <w:t xml:space="preserve"> </w:t>
      </w:r>
      <w:r w:rsidR="0032079C" w:rsidRPr="00A573EF">
        <w:t xml:space="preserve">The present report draws from 2009 </w:t>
      </w:r>
      <w:r w:rsidR="0077393A" w:rsidRPr="00A573EF">
        <w:t xml:space="preserve">cross-sectional </w:t>
      </w:r>
      <w:r w:rsidR="000101A5" w:rsidRPr="00A573EF">
        <w:t xml:space="preserve">public </w:t>
      </w:r>
      <w:r w:rsidR="000101A5" w:rsidRPr="00A573EF">
        <w:lastRenderedPageBreak/>
        <w:t xml:space="preserve">use </w:t>
      </w:r>
      <w:proofErr w:type="spellStart"/>
      <w:r w:rsidR="000101A5" w:rsidRPr="00A573EF">
        <w:t>microdata</w:t>
      </w:r>
      <w:proofErr w:type="spellEnd"/>
      <w:r w:rsidR="000101A5" w:rsidRPr="00A573EF">
        <w:t xml:space="preserve"> </w:t>
      </w:r>
      <w:r w:rsidR="00A1490C" w:rsidRPr="00A573EF">
        <w:t>file (PUMF)</w:t>
      </w:r>
      <w:r w:rsidR="000101A5" w:rsidRPr="00A573EF">
        <w:t>, which was the most recent</w:t>
      </w:r>
      <w:r w:rsidR="00A1490C" w:rsidRPr="00A573EF">
        <w:t xml:space="preserve"> PUMF</w:t>
      </w:r>
      <w:r w:rsidR="000101A5" w:rsidRPr="00A573EF">
        <w:t xml:space="preserve"> available when the report was written</w:t>
      </w:r>
      <w:r w:rsidR="0032079C" w:rsidRPr="00A573EF">
        <w:t>.</w:t>
      </w:r>
      <w:r w:rsidR="003F20E9">
        <w:rPr>
          <w:rStyle w:val="FootnoteReference"/>
        </w:rPr>
        <w:footnoteReference w:id="1"/>
      </w:r>
    </w:p>
    <w:p w:rsidR="007863CA" w:rsidRDefault="007863CA" w:rsidP="000146E9">
      <w:pPr>
        <w:pStyle w:val="Heading2"/>
      </w:pPr>
      <w:bookmarkStart w:id="11" w:name="_Toc354136996"/>
      <w:bookmarkStart w:id="12" w:name="_Toc354137351"/>
      <w:bookmarkStart w:id="13" w:name="_Toc361342888"/>
      <w:r>
        <w:t>Disability</w:t>
      </w:r>
      <w:bookmarkEnd w:id="11"/>
      <w:bookmarkEnd w:id="12"/>
      <w:bookmarkEnd w:id="13"/>
    </w:p>
    <w:p w:rsidR="0032079C" w:rsidRPr="000E1115" w:rsidRDefault="0032079C">
      <w:r w:rsidRPr="000E1115">
        <w:t xml:space="preserve">SLID operationalizes ‘disability’ by capturing any ‘yes, sometimes’ </w:t>
      </w:r>
      <w:r w:rsidR="00815F6F">
        <w:t>and</w:t>
      </w:r>
      <w:r w:rsidRPr="000E1115">
        <w:t xml:space="preserve"> ‘yes, often’ responses to </w:t>
      </w:r>
      <w:r w:rsidR="00237200" w:rsidRPr="000E1115">
        <w:t>questions that enquire about whether respondents have: a) any difficulty hearing, seeing, communicating, walking, climbing stairs, bending, learning or doing any similar activities;</w:t>
      </w:r>
      <w:r w:rsidR="0077393A" w:rsidRPr="000E1115">
        <w:t xml:space="preserve"> or</w:t>
      </w:r>
      <w:r w:rsidR="00237200" w:rsidRPr="000E1115">
        <w:t xml:space="preserve"> b) a physical condition or mental condition or health problem </w:t>
      </w:r>
      <w:r w:rsidR="00A76FD6" w:rsidRPr="000E1115">
        <w:t xml:space="preserve">that reduces the </w:t>
      </w:r>
      <w:r w:rsidR="00237200" w:rsidRPr="000E1115">
        <w:t>amount or the kind of activity they can do at</w:t>
      </w:r>
      <w:r w:rsidR="00A76FD6" w:rsidRPr="000E1115">
        <w:t xml:space="preserve">: </w:t>
      </w:r>
      <w:proofErr w:type="spellStart"/>
      <w:r w:rsidR="00A76FD6" w:rsidRPr="000E1115">
        <w:t>i</w:t>
      </w:r>
      <w:proofErr w:type="spellEnd"/>
      <w:r w:rsidR="00A76FD6" w:rsidRPr="000E1115">
        <w:t>)</w:t>
      </w:r>
      <w:r w:rsidR="00237200" w:rsidRPr="000E1115">
        <w:t xml:space="preserve"> home</w:t>
      </w:r>
      <w:r w:rsidR="00A76FD6" w:rsidRPr="000E1115">
        <w:t xml:space="preserve">; ii) school or work; or iii) in other activities, such as transportation or leisure. </w:t>
      </w:r>
      <w:r w:rsidR="00DF182E" w:rsidRPr="000E1115">
        <w:t xml:space="preserve">The 2009 SLID PUMF captured </w:t>
      </w:r>
      <w:r w:rsidR="00C051B0" w:rsidRPr="000E1115">
        <w:t xml:space="preserve">just over </w:t>
      </w:r>
      <w:r w:rsidR="00DF182E" w:rsidRPr="000E1115">
        <w:t>15,40</w:t>
      </w:r>
      <w:r w:rsidR="00C051B0" w:rsidRPr="000E1115">
        <w:t>0 respondents 16 and older who indicated the presence of disability, for a weighted estimate of</w:t>
      </w:r>
      <w:r w:rsidR="00DF182E" w:rsidRPr="000E1115">
        <w:t xml:space="preserve"> </w:t>
      </w:r>
      <w:r w:rsidR="00305E35" w:rsidRPr="000E1115">
        <w:t>nearly 7.8 million</w:t>
      </w:r>
      <w:r w:rsidR="00DF182E" w:rsidRPr="000E1115">
        <w:t xml:space="preserve"> </w:t>
      </w:r>
      <w:r w:rsidR="00C051B0" w:rsidRPr="000E1115">
        <w:t>adults.</w:t>
      </w:r>
      <w:r w:rsidR="00305E35" w:rsidRPr="000E1115">
        <w:t xml:space="preserve"> Owing to differences in survey design, this count is well </w:t>
      </w:r>
      <w:r w:rsidR="004D3919">
        <w:t xml:space="preserve">above </w:t>
      </w:r>
      <w:r w:rsidR="00305E35" w:rsidRPr="000E1115">
        <w:t xml:space="preserve">the weighted estimate of </w:t>
      </w:r>
      <w:r w:rsidR="00596727" w:rsidRPr="000E1115">
        <w:t>4.2 million</w:t>
      </w:r>
      <w:r w:rsidR="00305E35" w:rsidRPr="000E1115">
        <w:t xml:space="preserve"> adults with disabilities </w:t>
      </w:r>
      <w:r w:rsidR="004D3919">
        <w:t xml:space="preserve">15 years and older </w:t>
      </w:r>
      <w:r w:rsidR="00305E35" w:rsidRPr="000E1115">
        <w:t>in the 2006 Participation and Activity Limitation Survey</w:t>
      </w:r>
      <w:r w:rsidR="000A6B42">
        <w:t xml:space="preserve"> </w:t>
      </w:r>
      <w:r w:rsidR="00F36CF5">
        <w:t xml:space="preserve">or ‘PALS’ </w:t>
      </w:r>
      <w:r w:rsidR="000A6B42">
        <w:t>(Statistics Canada, 2007)</w:t>
      </w:r>
      <w:r w:rsidR="00316D6E">
        <w:t xml:space="preserve">. </w:t>
      </w:r>
      <w:proofErr w:type="gramStart"/>
      <w:r w:rsidR="00316D6E">
        <w:t>PALS</w:t>
      </w:r>
      <w:r w:rsidR="00596727" w:rsidRPr="000E1115">
        <w:t xml:space="preserve"> was</w:t>
      </w:r>
      <w:proofErr w:type="gramEnd"/>
      <w:r w:rsidR="00596727" w:rsidRPr="000E1115">
        <w:t xml:space="preserve"> Statistics Canada’s ‘flagship’ survey on disability</w:t>
      </w:r>
      <w:r w:rsidR="0077393A" w:rsidRPr="000E1115">
        <w:t xml:space="preserve"> until its cancellation in 2010</w:t>
      </w:r>
      <w:r w:rsidR="00305E35" w:rsidRPr="000E1115">
        <w:t>.</w:t>
      </w:r>
      <w:r w:rsidR="0077393A" w:rsidRPr="000E1115">
        <w:t xml:space="preserve"> </w:t>
      </w:r>
      <w:r w:rsidR="00316D6E">
        <w:t>Despite the difference in disability counts, m</w:t>
      </w:r>
      <w:r w:rsidR="0077393A" w:rsidRPr="000E1115">
        <w:t xml:space="preserve">any demographic patterns </w:t>
      </w:r>
      <w:r w:rsidR="00316D6E">
        <w:t xml:space="preserve">concerning people with disabilities </w:t>
      </w:r>
      <w:r w:rsidR="00305E35" w:rsidRPr="000E1115">
        <w:t>are similar</w:t>
      </w:r>
      <w:r w:rsidR="009668B7" w:rsidRPr="000E1115">
        <w:t xml:space="preserve"> across both surveys</w:t>
      </w:r>
      <w:r w:rsidR="00777885">
        <w:t>.</w:t>
      </w:r>
    </w:p>
    <w:p w:rsidR="00F559BC" w:rsidRDefault="00F559BC">
      <w:r w:rsidRPr="00A573EF">
        <w:t>In this report the terms ‘people with disabilities’ and ‘disabled people’ are used interchangeably.</w:t>
      </w:r>
    </w:p>
    <w:p w:rsidR="000E2B78" w:rsidRDefault="000E2B78" w:rsidP="000E2B78">
      <w:pPr>
        <w:pStyle w:val="Heading2"/>
      </w:pPr>
      <w:bookmarkStart w:id="14" w:name="_Toc354136998"/>
      <w:bookmarkStart w:id="15" w:name="_Toc354137353"/>
      <w:bookmarkStart w:id="16" w:name="_Toc361342889"/>
      <w:r>
        <w:t>Low Income and ‘Poverty’</w:t>
      </w:r>
      <w:bookmarkEnd w:id="14"/>
      <w:bookmarkEnd w:id="15"/>
      <w:bookmarkEnd w:id="16"/>
    </w:p>
    <w:p w:rsidR="000E2B78" w:rsidRPr="00A573EF" w:rsidRDefault="000E2B78" w:rsidP="000E2B78">
      <w:r w:rsidRPr="00A573EF">
        <w:t xml:space="preserve">The research used SLID’s flag to capture respondents above and below Statistics Canada’s low income cut-off (LICO), a widely used measure of poverty. A household with an income below the LICO is one where its residents spend 20% or more than the average on </w:t>
      </w:r>
      <w:r w:rsidR="00E90412">
        <w:t xml:space="preserve">the basic necessities of </w:t>
      </w:r>
      <w:r w:rsidRPr="00A573EF">
        <w:t>food, shelter and clothing</w:t>
      </w:r>
      <w:r w:rsidR="00A128F1">
        <w:t xml:space="preserve">. </w:t>
      </w:r>
      <w:r w:rsidRPr="00A573EF">
        <w:t xml:space="preserve">When calculating averages spent on basic necessities, Statistics Canada takes into account the number of people in a household and </w:t>
      </w:r>
      <w:r w:rsidR="00A128F1">
        <w:t xml:space="preserve">the </w:t>
      </w:r>
      <w:r w:rsidRPr="00A573EF">
        <w:t>number of people in the surrounding community (Statistics Canada, 2009). In all cases this report has used the after-tax LICO.</w:t>
      </w:r>
      <w:r w:rsidRPr="00F203A6">
        <w:rPr>
          <w:vertAlign w:val="superscript"/>
        </w:rPr>
        <w:footnoteReference w:id="2"/>
      </w:r>
    </w:p>
    <w:p w:rsidR="000E2B78" w:rsidRPr="00A573EF" w:rsidRDefault="000E2B78" w:rsidP="000E2B78">
      <w:r w:rsidRPr="00A573EF">
        <w:t>Strictly speaking, the LICO is the relative amount spent beyond which a family may be considered in ‘straightened circumstances’ (Statistics Canada, 2009). That said</w:t>
      </w:r>
      <w:proofErr w:type="gramStart"/>
      <w:r w:rsidRPr="00A573EF">
        <w:t>,</w:t>
      </w:r>
      <w:proofErr w:type="gramEnd"/>
      <w:r w:rsidRPr="00A573EF">
        <w:t xml:space="preserve"> people </w:t>
      </w:r>
      <w:r w:rsidRPr="00A573EF">
        <w:lastRenderedPageBreak/>
        <w:t xml:space="preserve">who have ‘low income’ may be considered ‘poor’ </w:t>
      </w:r>
      <w:r>
        <w:t xml:space="preserve">and the </w:t>
      </w:r>
      <w:r w:rsidRPr="00A573EF">
        <w:t>terms are used interchangeably in this report.</w:t>
      </w:r>
    </w:p>
    <w:p w:rsidR="0041774F" w:rsidRDefault="0041774F" w:rsidP="0041774F">
      <w:pPr>
        <w:pStyle w:val="Heading2"/>
      </w:pPr>
      <w:bookmarkStart w:id="17" w:name="_Toc361342890"/>
      <w:r>
        <w:t>Average Personal vs. Household Income</w:t>
      </w:r>
      <w:bookmarkEnd w:id="17"/>
    </w:p>
    <w:p w:rsidR="00FB2F5C" w:rsidRDefault="0041774F" w:rsidP="0041774F">
      <w:r w:rsidRPr="00A573EF">
        <w:t xml:space="preserve">This report focuses on the sources of </w:t>
      </w:r>
      <w:r w:rsidR="000E2B78">
        <w:t xml:space="preserve">personal </w:t>
      </w:r>
      <w:r w:rsidRPr="00A573EF">
        <w:t xml:space="preserve">income of people in low income households. The rationale for focusing on personal rather than household income sources </w:t>
      </w:r>
      <w:r w:rsidR="00A128F1">
        <w:t>is</w:t>
      </w:r>
      <w:r w:rsidR="004D3919">
        <w:t xml:space="preserve"> that </w:t>
      </w:r>
      <w:r w:rsidRPr="00A573EF">
        <w:t xml:space="preserve">disability organizations </w:t>
      </w:r>
      <w:r w:rsidR="004D3919">
        <w:t xml:space="preserve">tend to be interested </w:t>
      </w:r>
      <w:r w:rsidRPr="00A573EF">
        <w:t xml:space="preserve">in the individual income situation of people with disabilities instead of more general household situations in which individuals may have little say concerning how the money of other household members is spent. </w:t>
      </w:r>
      <w:r w:rsidR="001C67AE">
        <w:t xml:space="preserve">While </w:t>
      </w:r>
      <w:r w:rsidRPr="00A573EF">
        <w:t>LICOs are calculated at the hou</w:t>
      </w:r>
      <w:r w:rsidR="000E2B78">
        <w:t>sehold and not individual level</w:t>
      </w:r>
      <w:r w:rsidR="001C67AE">
        <w:t>, they</w:t>
      </w:r>
      <w:r w:rsidRPr="00A573EF">
        <w:t xml:space="preserve"> do imply that individuals in a low income household are </w:t>
      </w:r>
      <w:r w:rsidR="00DB1B5B">
        <w:t xml:space="preserve">generally </w:t>
      </w:r>
      <w:r w:rsidRPr="00A573EF">
        <w:t xml:space="preserve">as likely as others in that household to be experiencing ‘straightened circumstances’. </w:t>
      </w:r>
    </w:p>
    <w:p w:rsidR="0041774F" w:rsidRPr="00A573EF" w:rsidRDefault="000A5EE8" w:rsidP="0041774F">
      <w:r>
        <w:t>The focus of the report is on before-tax rather than after-tax personal income because that is how SLID</w:t>
      </w:r>
      <w:r w:rsidR="006E2C30">
        <w:t>’s</w:t>
      </w:r>
      <w:r>
        <w:t xml:space="preserve"> data on </w:t>
      </w:r>
      <w:r w:rsidR="00FB2F5C">
        <w:t xml:space="preserve">detailed </w:t>
      </w:r>
      <w:r>
        <w:t>sources of income are organized.</w:t>
      </w:r>
      <w:r w:rsidR="00FB2F5C">
        <w:t xml:space="preserve"> That said, SLID provides global figures on before-tax and after-tax incomes. Appendix Tables 4a-c show this information for people with and without disabilities by low income status and province. Overall the tax rates are very low for poor people with and without disabilities</w:t>
      </w:r>
      <w:r w:rsidR="00B55F28">
        <w:t xml:space="preserve"> so the general findings of this report are not significantly affected by focusing </w:t>
      </w:r>
      <w:proofErr w:type="gramStart"/>
      <w:r w:rsidR="00B55F28">
        <w:t>on  before</w:t>
      </w:r>
      <w:proofErr w:type="gramEnd"/>
      <w:r w:rsidR="00B55F28">
        <w:t>-tax income</w:t>
      </w:r>
      <w:r w:rsidR="00434977">
        <w:t xml:space="preserve"> detail</w:t>
      </w:r>
      <w:r w:rsidR="00B55F28">
        <w:t>s</w:t>
      </w:r>
      <w:r w:rsidR="00FB2F5C">
        <w:t>.</w:t>
      </w:r>
    </w:p>
    <w:p w:rsidR="0041774F" w:rsidRDefault="0041774F" w:rsidP="0041774F">
      <w:pPr>
        <w:pStyle w:val="Heading2"/>
      </w:pPr>
      <w:bookmarkStart w:id="18" w:name="_Toc354136997"/>
      <w:bookmarkStart w:id="19" w:name="_Toc354137352"/>
      <w:bookmarkStart w:id="20" w:name="_Toc361342891"/>
      <w:r>
        <w:t>Income Sources</w:t>
      </w:r>
      <w:bookmarkEnd w:id="18"/>
      <w:bookmarkEnd w:id="19"/>
      <w:bookmarkEnd w:id="20"/>
    </w:p>
    <w:p w:rsidR="006665DD" w:rsidRDefault="0041774F" w:rsidP="0041774F">
      <w:r w:rsidRPr="00A573EF">
        <w:t xml:space="preserve">The following SLID </w:t>
      </w:r>
      <w:r w:rsidR="009337A7" w:rsidRPr="00A573EF">
        <w:t xml:space="preserve">personal </w:t>
      </w:r>
      <w:r w:rsidRPr="00A573EF">
        <w:t>income variables were used in this analysis</w:t>
      </w:r>
      <w:r w:rsidR="00DE1032">
        <w:t xml:space="preserve"> (Table </w:t>
      </w:r>
      <w:r w:rsidR="00012487">
        <w:t>1</w:t>
      </w:r>
      <w:r w:rsidR="00DE1032">
        <w:t>)</w:t>
      </w:r>
      <w:r w:rsidR="00DB7E59">
        <w:t>. Government transfer income sources are briefly described in the Appendix.</w:t>
      </w:r>
    </w:p>
    <w:p w:rsidR="0041774F" w:rsidRPr="00A573EF" w:rsidRDefault="006665DD" w:rsidP="0041774F">
      <w:r>
        <w:br w:type="page"/>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3432"/>
        <w:gridCol w:w="1143"/>
        <w:gridCol w:w="3166"/>
      </w:tblGrid>
      <w:tr w:rsidR="005E28F9" w:rsidRPr="000A78F7" w:rsidTr="00E94C0E">
        <w:trPr>
          <w:trHeight w:val="20"/>
          <w:tblHeader/>
        </w:trPr>
        <w:tc>
          <w:tcPr>
            <w:tcW w:w="9105" w:type="dxa"/>
            <w:gridSpan w:val="4"/>
            <w:shd w:val="clear" w:color="auto" w:fill="auto"/>
            <w:vAlign w:val="center"/>
          </w:tcPr>
          <w:p w:rsidR="005E28F9" w:rsidRPr="000A78F7" w:rsidRDefault="005E28F9" w:rsidP="00012487">
            <w:pPr>
              <w:spacing w:after="0" w:line="240" w:lineRule="auto"/>
              <w:rPr>
                <w:rFonts w:ascii="Calibri" w:eastAsia="Times New Roman" w:hAnsi="Calibri" w:cs="Arial"/>
                <w:b/>
                <w:color w:val="000000"/>
                <w:sz w:val="22"/>
                <w:szCs w:val="22"/>
              </w:rPr>
            </w:pPr>
            <w:r w:rsidRPr="000A78F7">
              <w:rPr>
                <w:rFonts w:ascii="Calibri" w:eastAsia="Times New Roman" w:hAnsi="Calibri" w:cs="Arial"/>
                <w:b/>
                <w:color w:val="000000"/>
                <w:sz w:val="22"/>
                <w:szCs w:val="22"/>
              </w:rPr>
              <w:t xml:space="preserve">Table </w:t>
            </w:r>
            <w:r w:rsidR="00012487">
              <w:rPr>
                <w:rFonts w:ascii="Calibri" w:eastAsia="Times New Roman" w:hAnsi="Calibri" w:cs="Arial"/>
                <w:b/>
                <w:color w:val="000000"/>
                <w:sz w:val="22"/>
                <w:szCs w:val="22"/>
              </w:rPr>
              <w:t>1</w:t>
            </w:r>
            <w:r w:rsidRPr="000A78F7">
              <w:rPr>
                <w:rFonts w:ascii="Calibri" w:eastAsia="Times New Roman" w:hAnsi="Calibri" w:cs="Arial"/>
                <w:b/>
                <w:color w:val="000000"/>
                <w:sz w:val="22"/>
                <w:szCs w:val="22"/>
              </w:rPr>
              <w:t>. SLID 2009 (PUMF) variables used for this research</w:t>
            </w:r>
          </w:p>
        </w:tc>
      </w:tr>
      <w:tr w:rsidR="0041774F" w:rsidRPr="000A78F7" w:rsidTr="00220BF8">
        <w:trPr>
          <w:trHeight w:val="20"/>
        </w:trPr>
        <w:tc>
          <w:tcPr>
            <w:tcW w:w="4720" w:type="dxa"/>
            <w:gridSpan w:val="2"/>
            <w:shd w:val="clear" w:color="auto" w:fill="auto"/>
            <w:vAlign w:val="center"/>
          </w:tcPr>
          <w:p w:rsidR="0024518C" w:rsidRPr="000A78F7" w:rsidRDefault="0041774F" w:rsidP="00220BF8">
            <w:pPr>
              <w:spacing w:after="0" w:line="240" w:lineRule="auto"/>
              <w:rPr>
                <w:rFonts w:ascii="Calibri" w:eastAsia="Times New Roman" w:hAnsi="Calibri" w:cs="Arial"/>
                <w:b/>
                <w:color w:val="000000"/>
                <w:sz w:val="22"/>
                <w:szCs w:val="22"/>
              </w:rPr>
            </w:pPr>
            <w:r w:rsidRPr="000A78F7">
              <w:rPr>
                <w:rFonts w:ascii="Calibri" w:eastAsia="Times New Roman" w:hAnsi="Calibri" w:cs="Arial"/>
                <w:b/>
                <w:color w:val="000000"/>
                <w:sz w:val="22"/>
                <w:szCs w:val="22"/>
              </w:rPr>
              <w:t>Market Income</w:t>
            </w:r>
            <w:r w:rsidR="0024518C" w:rsidRPr="000A78F7">
              <w:rPr>
                <w:rStyle w:val="FootnoteReference"/>
                <w:rFonts w:ascii="Calibri" w:eastAsia="Times New Roman" w:hAnsi="Calibri" w:cs="Arial"/>
                <w:b/>
                <w:color w:val="000000"/>
                <w:sz w:val="22"/>
                <w:szCs w:val="22"/>
              </w:rPr>
              <w:footnoteReference w:id="3"/>
            </w:r>
          </w:p>
        </w:tc>
        <w:tc>
          <w:tcPr>
            <w:tcW w:w="4385" w:type="dxa"/>
            <w:gridSpan w:val="2"/>
          </w:tcPr>
          <w:p w:rsidR="0041774F" w:rsidRPr="000A78F7" w:rsidRDefault="0041774F" w:rsidP="00220BF8">
            <w:pPr>
              <w:spacing w:after="0" w:line="240" w:lineRule="auto"/>
              <w:rPr>
                <w:rFonts w:ascii="Calibri" w:eastAsia="Times New Roman" w:hAnsi="Calibri" w:cs="Arial"/>
                <w:b/>
                <w:color w:val="000000"/>
                <w:sz w:val="22"/>
                <w:szCs w:val="22"/>
              </w:rPr>
            </w:pPr>
            <w:r w:rsidRPr="000A78F7">
              <w:rPr>
                <w:rFonts w:ascii="Calibri" w:eastAsia="Times New Roman" w:hAnsi="Calibri" w:cs="Arial"/>
                <w:b/>
                <w:color w:val="000000"/>
                <w:sz w:val="22"/>
                <w:szCs w:val="22"/>
              </w:rPr>
              <w:t>Government Transfer Income</w:t>
            </w:r>
          </w:p>
        </w:tc>
      </w:tr>
      <w:tr w:rsidR="0041774F" w:rsidRPr="000A78F7" w:rsidTr="00220BF8">
        <w:trPr>
          <w:trHeight w:val="20"/>
        </w:trPr>
        <w:tc>
          <w:tcPr>
            <w:tcW w:w="1197"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semp42 </w:t>
            </w:r>
          </w:p>
        </w:tc>
        <w:tc>
          <w:tcPr>
            <w:tcW w:w="3523" w:type="dxa"/>
            <w:shd w:val="clear" w:color="auto" w:fill="auto"/>
            <w:vAlign w:val="center"/>
            <w:hideMark/>
          </w:tcPr>
          <w:p w:rsidR="0041774F" w:rsidRPr="000A78F7" w:rsidRDefault="0041774F" w:rsidP="00A128F1">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Self-employment </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chtxb42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Total federal &amp; provincial child benefits</w:t>
            </w:r>
          </w:p>
        </w:tc>
      </w:tr>
      <w:tr w:rsidR="0041774F" w:rsidRPr="000A78F7" w:rsidTr="00220BF8">
        <w:trPr>
          <w:trHeight w:val="20"/>
        </w:trPr>
        <w:tc>
          <w:tcPr>
            <w:tcW w:w="1197"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wgsal42 </w:t>
            </w:r>
          </w:p>
        </w:tc>
        <w:tc>
          <w:tcPr>
            <w:tcW w:w="3523"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Wages &amp; salaries before deductions</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cpqpp42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CPP &amp; QPP benefits, including Disability</w:t>
            </w:r>
          </w:p>
        </w:tc>
      </w:tr>
      <w:tr w:rsidR="0041774F" w:rsidRPr="000A78F7" w:rsidTr="00220BF8">
        <w:trPr>
          <w:trHeight w:val="20"/>
        </w:trPr>
        <w:tc>
          <w:tcPr>
            <w:tcW w:w="1197"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pen42 </w:t>
            </w:r>
          </w:p>
        </w:tc>
        <w:tc>
          <w:tcPr>
            <w:tcW w:w="3523"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Private retirement pensions</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oasgi42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Total of Old Age Security benefits (Old Age Security and Guaranteed Income Supplement)</w:t>
            </w:r>
          </w:p>
        </w:tc>
      </w:tr>
      <w:tr w:rsidR="0041774F" w:rsidRPr="000A78F7" w:rsidTr="00220BF8">
        <w:trPr>
          <w:trHeight w:val="20"/>
        </w:trPr>
        <w:tc>
          <w:tcPr>
            <w:tcW w:w="1197"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inva42 </w:t>
            </w:r>
          </w:p>
        </w:tc>
        <w:tc>
          <w:tcPr>
            <w:tcW w:w="3523"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Investment income</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uiben42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Employment Insurance benefits</w:t>
            </w:r>
          </w:p>
        </w:tc>
      </w:tr>
      <w:tr w:rsidR="0041774F" w:rsidRPr="000A78F7" w:rsidTr="00220BF8">
        <w:trPr>
          <w:trHeight w:val="20"/>
        </w:trPr>
        <w:tc>
          <w:tcPr>
            <w:tcW w:w="1197"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alimo42 </w:t>
            </w:r>
          </w:p>
        </w:tc>
        <w:tc>
          <w:tcPr>
            <w:tcW w:w="3523" w:type="dxa"/>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Support payments received</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wkrcp42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Workers' compensation benefits</w:t>
            </w:r>
          </w:p>
        </w:tc>
      </w:tr>
      <w:tr w:rsidR="0041774F" w:rsidRPr="000A78F7" w:rsidTr="00220BF8">
        <w:trPr>
          <w:trHeight w:val="20"/>
        </w:trPr>
        <w:tc>
          <w:tcPr>
            <w:tcW w:w="1197" w:type="dxa"/>
            <w:tcBorders>
              <w:bottom w:val="single" w:sz="4" w:space="0" w:color="auto"/>
            </w:tcBorders>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mtinc_oth42</w:t>
            </w:r>
          </w:p>
        </w:tc>
        <w:tc>
          <w:tcPr>
            <w:tcW w:w="3523" w:type="dxa"/>
            <w:tcBorders>
              <w:bottom w:val="single" w:sz="4" w:space="0" w:color="auto"/>
            </w:tcBorders>
            <w:shd w:val="clear" w:color="auto" w:fill="auto"/>
            <w:vAlign w:val="center"/>
            <w:hideMark/>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All other market income.</w:t>
            </w:r>
            <w:r w:rsidR="0024518C" w:rsidRPr="000A78F7">
              <w:rPr>
                <w:rStyle w:val="FootnoteReference"/>
                <w:rFonts w:ascii="Calibri" w:eastAsia="Times New Roman" w:hAnsi="Calibri" w:cs="Arial"/>
                <w:color w:val="000000"/>
                <w:sz w:val="22"/>
                <w:szCs w:val="22"/>
              </w:rPr>
              <w:footnoteReference w:id="4"/>
            </w:r>
            <w:r w:rsidR="0024518C" w:rsidRPr="000A78F7">
              <w:rPr>
                <w:rFonts w:ascii="Calibri" w:eastAsia="Times New Roman" w:hAnsi="Calibri" w:cs="Arial"/>
                <w:color w:val="000000"/>
                <w:sz w:val="22"/>
                <w:szCs w:val="22"/>
              </w:rPr>
              <w:t xml:space="preserve"> </w:t>
            </w:r>
          </w:p>
        </w:tc>
        <w:tc>
          <w:tcPr>
            <w:tcW w:w="1145"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sapis42 </w:t>
            </w:r>
          </w:p>
        </w:tc>
        <w:tc>
          <w:tcPr>
            <w:tcW w:w="3240" w:type="dxa"/>
            <w:vAlign w:val="center"/>
          </w:tcPr>
          <w:p w:rsidR="0041774F" w:rsidRPr="000A78F7" w:rsidRDefault="0041774F"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Social Assistance</w:t>
            </w:r>
          </w:p>
        </w:tc>
      </w:tr>
      <w:tr w:rsidR="00AC7EBE" w:rsidRPr="000A78F7" w:rsidTr="00220BF8">
        <w:trPr>
          <w:trHeight w:val="20"/>
        </w:trPr>
        <w:tc>
          <w:tcPr>
            <w:tcW w:w="1197" w:type="dxa"/>
            <w:tcBorders>
              <w:bottom w:val="single" w:sz="4" w:space="0" w:color="auto"/>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mtinc42</w:t>
            </w:r>
          </w:p>
        </w:tc>
        <w:tc>
          <w:tcPr>
            <w:tcW w:w="3523" w:type="dxa"/>
            <w:tcBorders>
              <w:bottom w:val="single" w:sz="4" w:space="0" w:color="auto"/>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All market income</w:t>
            </w:r>
          </w:p>
        </w:tc>
        <w:tc>
          <w:tcPr>
            <w:tcW w:w="1145" w:type="dxa"/>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ogovtr42 </w:t>
            </w:r>
          </w:p>
        </w:tc>
        <w:tc>
          <w:tcPr>
            <w:tcW w:w="3240" w:type="dxa"/>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Working Income Tax Benefit</w:t>
            </w:r>
          </w:p>
        </w:tc>
      </w:tr>
      <w:tr w:rsidR="00AC7EBE" w:rsidRPr="000A78F7" w:rsidTr="00220BF8">
        <w:trPr>
          <w:trHeight w:val="20"/>
        </w:trPr>
        <w:tc>
          <w:tcPr>
            <w:tcW w:w="1197" w:type="dxa"/>
            <w:tcBorders>
              <w:top w:val="single" w:sz="4" w:space="0" w:color="auto"/>
              <w:left w:val="nil"/>
              <w:bottom w:val="nil"/>
              <w:right w:val="nil"/>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3523" w:type="dxa"/>
            <w:tcBorders>
              <w:top w:val="single" w:sz="4" w:space="0" w:color="auto"/>
              <w:left w:val="nil"/>
              <w:bottom w:val="nil"/>
              <w:right w:val="single" w:sz="4" w:space="0" w:color="auto"/>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1145" w:type="dxa"/>
            <w:tcBorders>
              <w:left w:val="single" w:sz="4" w:space="0" w:color="auto"/>
            </w:tcBorders>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gstxc42 </w:t>
            </w:r>
          </w:p>
        </w:tc>
        <w:tc>
          <w:tcPr>
            <w:tcW w:w="3240" w:type="dxa"/>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Federal GST/HST Credit, excludes provincial sales tax credits</w:t>
            </w:r>
          </w:p>
        </w:tc>
      </w:tr>
      <w:tr w:rsidR="00AC7EBE" w:rsidRPr="000A78F7" w:rsidTr="00220BF8">
        <w:trPr>
          <w:trHeight w:val="20"/>
        </w:trPr>
        <w:tc>
          <w:tcPr>
            <w:tcW w:w="1197" w:type="dxa"/>
            <w:tcBorders>
              <w:top w:val="nil"/>
              <w:left w:val="nil"/>
              <w:bottom w:val="nil"/>
              <w:right w:val="nil"/>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3523" w:type="dxa"/>
            <w:tcBorders>
              <w:top w:val="nil"/>
              <w:left w:val="nil"/>
              <w:bottom w:val="nil"/>
              <w:right w:val="single" w:sz="4" w:space="0" w:color="auto"/>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1145" w:type="dxa"/>
            <w:tcBorders>
              <w:left w:val="single" w:sz="4" w:space="0" w:color="auto"/>
            </w:tcBorders>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 xml:space="preserve">gtr_oth42 </w:t>
            </w:r>
          </w:p>
        </w:tc>
        <w:tc>
          <w:tcPr>
            <w:tcW w:w="3240" w:type="dxa"/>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All other government transfers</w:t>
            </w:r>
            <w:r w:rsidR="0024518C" w:rsidRPr="000A78F7">
              <w:rPr>
                <w:rStyle w:val="FootnoteReference"/>
                <w:rFonts w:ascii="Calibri" w:eastAsia="Times New Roman" w:hAnsi="Calibri" w:cs="Arial"/>
                <w:color w:val="000000"/>
                <w:sz w:val="22"/>
                <w:szCs w:val="22"/>
              </w:rPr>
              <w:footnoteReference w:id="5"/>
            </w:r>
            <w:r w:rsidR="0024518C" w:rsidRPr="000A78F7">
              <w:rPr>
                <w:rFonts w:ascii="Calibri" w:eastAsia="Times New Roman" w:hAnsi="Calibri" w:cs="Arial"/>
                <w:color w:val="000000"/>
                <w:sz w:val="22"/>
                <w:szCs w:val="22"/>
              </w:rPr>
              <w:t xml:space="preserve"> </w:t>
            </w:r>
          </w:p>
        </w:tc>
      </w:tr>
      <w:tr w:rsidR="00AC7EBE" w:rsidRPr="000A78F7" w:rsidTr="00220BF8">
        <w:trPr>
          <w:trHeight w:val="20"/>
        </w:trPr>
        <w:tc>
          <w:tcPr>
            <w:tcW w:w="1197" w:type="dxa"/>
            <w:tcBorders>
              <w:top w:val="nil"/>
              <w:left w:val="nil"/>
              <w:bottom w:val="nil"/>
              <w:right w:val="nil"/>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3523" w:type="dxa"/>
            <w:tcBorders>
              <w:top w:val="nil"/>
              <w:left w:val="nil"/>
              <w:bottom w:val="nil"/>
              <w:right w:val="single" w:sz="4" w:space="0" w:color="auto"/>
            </w:tcBorders>
            <w:shd w:val="clear" w:color="auto" w:fill="auto"/>
            <w:vAlign w:val="center"/>
          </w:tcPr>
          <w:p w:rsidR="00AC7EBE" w:rsidRPr="000A78F7" w:rsidRDefault="00AC7EBE" w:rsidP="00220BF8">
            <w:pPr>
              <w:spacing w:after="0" w:line="240" w:lineRule="auto"/>
              <w:rPr>
                <w:rFonts w:ascii="Calibri" w:eastAsia="Times New Roman" w:hAnsi="Calibri" w:cs="Arial"/>
                <w:color w:val="000000"/>
                <w:sz w:val="22"/>
                <w:szCs w:val="22"/>
              </w:rPr>
            </w:pPr>
          </w:p>
        </w:tc>
        <w:tc>
          <w:tcPr>
            <w:tcW w:w="1145" w:type="dxa"/>
            <w:tcBorders>
              <w:left w:val="single" w:sz="4" w:space="0" w:color="auto"/>
            </w:tcBorders>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gtr42</w:t>
            </w:r>
          </w:p>
        </w:tc>
        <w:tc>
          <w:tcPr>
            <w:tcW w:w="3240" w:type="dxa"/>
            <w:vAlign w:val="center"/>
          </w:tcPr>
          <w:p w:rsidR="00AC7EBE" w:rsidRPr="000A78F7" w:rsidRDefault="00AC7EBE" w:rsidP="00D33BCD">
            <w:pPr>
              <w:spacing w:after="0" w:line="240" w:lineRule="auto"/>
              <w:rPr>
                <w:rFonts w:ascii="Calibri" w:eastAsia="Times New Roman" w:hAnsi="Calibri" w:cs="Arial"/>
                <w:color w:val="000000"/>
                <w:sz w:val="22"/>
                <w:szCs w:val="22"/>
              </w:rPr>
            </w:pPr>
            <w:r w:rsidRPr="000A78F7">
              <w:rPr>
                <w:rFonts w:ascii="Calibri" w:eastAsia="Times New Roman" w:hAnsi="Calibri" w:cs="Arial"/>
                <w:color w:val="000000"/>
                <w:sz w:val="22"/>
                <w:szCs w:val="22"/>
              </w:rPr>
              <w:t>All government transfer income</w:t>
            </w:r>
          </w:p>
        </w:tc>
      </w:tr>
    </w:tbl>
    <w:p w:rsidR="0041774F" w:rsidRDefault="0041774F" w:rsidP="0041774F"/>
    <w:p w:rsidR="00A32DF2" w:rsidRPr="00A573EF" w:rsidRDefault="0041774F" w:rsidP="0041774F">
      <w:r w:rsidRPr="00A573EF">
        <w:t xml:space="preserve">Taxable Capital Gains and, among people younger than 65 years, withdrawals from RRSPs are not included in the total income counts in SLID so are not shown on </w:t>
      </w:r>
      <w:r w:rsidR="00A32DF2" w:rsidRPr="00A573EF">
        <w:t>the large Appendix T</w:t>
      </w:r>
      <w:r w:rsidRPr="00A573EF">
        <w:t>ables that present income sources; RRSP withdrawals are included within in the totals for the private retirement pensions of people 65 and older, however</w:t>
      </w:r>
      <w:r w:rsidR="00DB1B5B">
        <w:t>, as shown on Appendix Tables A3a to A3d</w:t>
      </w:r>
      <w:r w:rsidRPr="00A573EF">
        <w:t xml:space="preserve">. </w:t>
      </w:r>
      <w:r w:rsidR="006E2C30">
        <w:t>As c</w:t>
      </w:r>
      <w:r w:rsidRPr="00A573EF">
        <w:t xml:space="preserve">apital gains </w:t>
      </w:r>
      <w:r w:rsidR="009337A7" w:rsidRPr="00A573EF">
        <w:t xml:space="preserve">are very low </w:t>
      </w:r>
      <w:r w:rsidRPr="00A573EF">
        <w:t xml:space="preserve">for </w:t>
      </w:r>
      <w:r w:rsidR="009337A7" w:rsidRPr="00A573EF">
        <w:t>poor</w:t>
      </w:r>
      <w:r w:rsidRPr="00A573EF">
        <w:t xml:space="preserve"> people with disabilities</w:t>
      </w:r>
      <w:r w:rsidR="006E2C30">
        <w:t>,</w:t>
      </w:r>
      <w:r w:rsidRPr="00A573EF">
        <w:t xml:space="preserve"> the omission </w:t>
      </w:r>
      <w:r w:rsidR="009337A7" w:rsidRPr="00A573EF">
        <w:t xml:space="preserve">of such income </w:t>
      </w:r>
      <w:r w:rsidRPr="00A573EF">
        <w:t xml:space="preserve">from the analysis </w:t>
      </w:r>
      <w:r w:rsidR="009337A7" w:rsidRPr="00A573EF">
        <w:t xml:space="preserve">does not </w:t>
      </w:r>
      <w:r w:rsidR="006E2C30">
        <w:t>significantly</w:t>
      </w:r>
      <w:r w:rsidR="009337A7" w:rsidRPr="00A573EF">
        <w:t xml:space="preserve"> affect </w:t>
      </w:r>
      <w:r w:rsidR="006E2C30">
        <w:t>its</w:t>
      </w:r>
      <w:r w:rsidR="009337A7" w:rsidRPr="00A573EF">
        <w:t xml:space="preserve"> results</w:t>
      </w:r>
      <w:r w:rsidRPr="00A573EF">
        <w:t xml:space="preserve">. </w:t>
      </w:r>
    </w:p>
    <w:p w:rsidR="0041774F" w:rsidRPr="00A573EF" w:rsidRDefault="0041774F" w:rsidP="0041774F">
      <w:r w:rsidRPr="00A573EF">
        <w:t xml:space="preserve">Components of total average personal incomes are the major focuses of attention in this report. It is important for the reader to understand that some individuals </w:t>
      </w:r>
      <w:r w:rsidR="004D3919">
        <w:t>received</w:t>
      </w:r>
      <w:r w:rsidRPr="00A573EF">
        <w:t xml:space="preserve"> while others did not receive income from a given source, in which case the value of income </w:t>
      </w:r>
      <w:r w:rsidRPr="00A573EF">
        <w:lastRenderedPageBreak/>
        <w:t>from a given source is zero for some people</w:t>
      </w:r>
      <w:r w:rsidR="00261FC9" w:rsidRPr="00A573EF">
        <w:t xml:space="preserve"> and a positive value for others</w:t>
      </w:r>
      <w:r w:rsidRPr="00A573EF">
        <w:t>.</w:t>
      </w:r>
      <w:r w:rsidR="0024518C" w:rsidRPr="00F203A6">
        <w:rPr>
          <w:vertAlign w:val="superscript"/>
        </w:rPr>
        <w:footnoteReference w:id="6"/>
      </w:r>
      <w:r w:rsidR="0024518C" w:rsidRPr="00F203A6">
        <w:rPr>
          <w:vertAlign w:val="superscript"/>
        </w:rPr>
        <w:t xml:space="preserve"> </w:t>
      </w:r>
      <w:r w:rsidRPr="00A573EF">
        <w:t xml:space="preserve">This averaging across people who did and did not receive income from a given source results in the components of total income understating the amount of income received from a given source if that source alone were </w:t>
      </w:r>
      <w:r w:rsidR="001569F8" w:rsidRPr="00A573EF">
        <w:t xml:space="preserve">to be placed </w:t>
      </w:r>
      <w:r w:rsidRPr="00A573EF">
        <w:t xml:space="preserve">at the focus of attention. For instance, Appendix Tables </w:t>
      </w:r>
      <w:r w:rsidR="00F72C0A" w:rsidRPr="00A573EF">
        <w:t>A1</w:t>
      </w:r>
      <w:r w:rsidRPr="00A573EF">
        <w:t>a and A2a show that the total average amount received from social assistance among low income working-age people with disabilities was $3,657 in 2009. This represents the average amount received among 931,970 low income working-age people with disabilities, 510,440</w:t>
      </w:r>
      <w:r w:rsidR="00DB1B5B">
        <w:t xml:space="preserve"> of whom</w:t>
      </w:r>
      <w:r w:rsidRPr="00A573EF">
        <w:t xml:space="preserve"> received no social assistance and 421,530 </w:t>
      </w:r>
      <w:r w:rsidR="00DB1B5B">
        <w:t xml:space="preserve">who </w:t>
      </w:r>
      <w:r w:rsidRPr="00A573EF">
        <w:t>received a d</w:t>
      </w:r>
      <w:r w:rsidR="008F5E45">
        <w:t>ollar or more from that source.</w:t>
      </w:r>
      <w:r w:rsidR="009D205F">
        <w:rPr>
          <w:rStyle w:val="FootnoteReference"/>
        </w:rPr>
        <w:footnoteReference w:id="7"/>
      </w:r>
    </w:p>
    <w:p w:rsidR="00FB3BED" w:rsidRDefault="00FB3BED" w:rsidP="00FB3BED">
      <w:pPr>
        <w:pStyle w:val="Heading2"/>
      </w:pPr>
      <w:bookmarkStart w:id="21" w:name="_Toc354137001"/>
      <w:bookmarkStart w:id="22" w:name="_Toc354137356"/>
      <w:bookmarkStart w:id="23" w:name="_Toc361342892"/>
      <w:r>
        <w:t>Two Recurring Comparison Groups</w:t>
      </w:r>
      <w:bookmarkEnd w:id="21"/>
      <w:bookmarkEnd w:id="22"/>
      <w:bookmarkEnd w:id="23"/>
    </w:p>
    <w:p w:rsidR="00FB3BED" w:rsidRPr="00A573EF" w:rsidRDefault="00555D4E" w:rsidP="00FB3BED">
      <w:r w:rsidRPr="00A573EF">
        <w:t xml:space="preserve">Appendix Tables </w:t>
      </w:r>
      <w:r w:rsidR="00823BAC">
        <w:t xml:space="preserve">A1 </w:t>
      </w:r>
      <w:r w:rsidR="00853BDC">
        <w:t>to</w:t>
      </w:r>
      <w:r w:rsidR="00823BAC">
        <w:t xml:space="preserve"> A3 </w:t>
      </w:r>
      <w:r w:rsidR="00FB3BED" w:rsidRPr="00A573EF">
        <w:t xml:space="preserve">for the present report </w:t>
      </w:r>
      <w:r w:rsidRPr="00A573EF">
        <w:t>provide the bases for much of the analysis and each has</w:t>
      </w:r>
      <w:r w:rsidR="00FB3BED" w:rsidRPr="00A573EF">
        <w:t xml:space="preserve"> hundred</w:t>
      </w:r>
      <w:r w:rsidR="002700BB">
        <w:t>s of</w:t>
      </w:r>
      <w:r w:rsidR="00FB3BED" w:rsidRPr="00A573EF">
        <w:t xml:space="preserve"> individual </w:t>
      </w:r>
      <w:r w:rsidRPr="00A573EF">
        <w:t xml:space="preserve">data </w:t>
      </w:r>
      <w:r w:rsidR="00FB3BED" w:rsidRPr="00A573EF">
        <w:t>cells. In order to facilitate analysis across these hundreds of cells, four broad units of</w:t>
      </w:r>
      <w:r w:rsidR="002700BB">
        <w:t xml:space="preserve"> analysis are presented, here: 1</w:t>
      </w:r>
      <w:r w:rsidR="00FB3BED" w:rsidRPr="00A573EF">
        <w:t>) people with disabilities and inc</w:t>
      </w:r>
      <w:r w:rsidR="002700BB">
        <w:t>omes below the after-tax LICO; 2</w:t>
      </w:r>
      <w:r w:rsidR="00FB3BED" w:rsidRPr="00A573EF">
        <w:t>) people without disabilities and incomes below the LI</w:t>
      </w:r>
      <w:r w:rsidR="002700BB">
        <w:t>CO; 3</w:t>
      </w:r>
      <w:r w:rsidR="00FB3BED" w:rsidRPr="00A573EF">
        <w:t>) people without disabilities a</w:t>
      </w:r>
      <w:r w:rsidR="002700BB">
        <w:t xml:space="preserve">nd incomes </w:t>
      </w:r>
      <w:r w:rsidR="00DE2246">
        <w:t xml:space="preserve">at or </w:t>
      </w:r>
      <w:r w:rsidR="002700BB">
        <w:t>above the LICO; and 4</w:t>
      </w:r>
      <w:r w:rsidR="00FB3BED" w:rsidRPr="00A573EF">
        <w:t xml:space="preserve">) people with and without disabilities together, regardless of the LICO. In the Appendix Tables, those units of analysis are </w:t>
      </w:r>
      <w:r w:rsidR="009F627C">
        <w:t>further</w:t>
      </w:r>
      <w:r w:rsidR="00FB3BED" w:rsidRPr="00A573EF">
        <w:t xml:space="preserve"> subdivided </w:t>
      </w:r>
      <w:r w:rsidR="009F627C">
        <w:t>by</w:t>
      </w:r>
      <w:r w:rsidR="00FB3BED" w:rsidRPr="00A573EF">
        <w:t xml:space="preserve"> province</w:t>
      </w:r>
      <w:r w:rsidR="009F627C">
        <w:t xml:space="preserve"> (Table A1)</w:t>
      </w:r>
      <w:r w:rsidR="002700BB">
        <w:t>,</w:t>
      </w:r>
      <w:r w:rsidR="00FB3BED" w:rsidRPr="00A573EF">
        <w:t xml:space="preserve"> </w:t>
      </w:r>
      <w:r w:rsidR="009F627C">
        <w:t>living arrangements (Table A2)</w:t>
      </w:r>
      <w:r w:rsidR="00FB3BED" w:rsidRPr="00A573EF">
        <w:t xml:space="preserve"> and </w:t>
      </w:r>
      <w:r w:rsidR="009F627C">
        <w:t>age and gender (Table A3)</w:t>
      </w:r>
      <w:r w:rsidR="00FB3BED" w:rsidRPr="00A573EF">
        <w:t>.</w:t>
      </w:r>
    </w:p>
    <w:p w:rsidR="00FB3BED" w:rsidRPr="00A573EF" w:rsidRDefault="00FB3BED" w:rsidP="00FB3BED">
      <w:r w:rsidRPr="00A573EF">
        <w:t xml:space="preserve">To keep the analysis manageable, </w:t>
      </w:r>
      <w:r w:rsidR="00D32ACB">
        <w:t xml:space="preserve">poor </w:t>
      </w:r>
      <w:r w:rsidRPr="00A573EF">
        <w:t xml:space="preserve">people with and without disabilities are held constant as the two recurring units of analysis. Data for </w:t>
      </w:r>
      <w:r w:rsidR="00D32ACB">
        <w:t xml:space="preserve">people without disabilities and incomes at or above the poverty line, and all working-age people, </w:t>
      </w:r>
      <w:r w:rsidRPr="00A573EF">
        <w:t xml:space="preserve">are presented in </w:t>
      </w:r>
      <w:r w:rsidR="00713918" w:rsidRPr="00A573EF">
        <w:t xml:space="preserve">the </w:t>
      </w:r>
      <w:r w:rsidR="00A77C79">
        <w:t>Appendix Table</w:t>
      </w:r>
      <w:r w:rsidRPr="00A573EF">
        <w:t>s without extensive analysis</w:t>
      </w:r>
      <w:r w:rsidR="0002211B">
        <w:t xml:space="preserve"> </w:t>
      </w:r>
      <w:r w:rsidR="0002211B" w:rsidRPr="00A573EF">
        <w:t>as background information</w:t>
      </w:r>
      <w:r w:rsidRPr="00A573EF">
        <w:t>.</w:t>
      </w:r>
    </w:p>
    <w:p w:rsidR="00F559BC" w:rsidRDefault="00F559BC" w:rsidP="000146E9">
      <w:pPr>
        <w:pStyle w:val="Heading2"/>
      </w:pPr>
      <w:bookmarkStart w:id="24" w:name="_Toc354136999"/>
      <w:bookmarkStart w:id="25" w:name="_Toc354137354"/>
      <w:bookmarkStart w:id="26" w:name="_Toc361342893"/>
      <w:r>
        <w:t>Age Groupings</w:t>
      </w:r>
      <w:bookmarkEnd w:id="24"/>
      <w:bookmarkEnd w:id="25"/>
      <w:bookmarkEnd w:id="26"/>
    </w:p>
    <w:p w:rsidR="00F559BC" w:rsidRPr="00A573EF" w:rsidRDefault="00F559BC" w:rsidP="00F559BC">
      <w:r w:rsidRPr="00A573EF">
        <w:t xml:space="preserve">The youngest people included in the present analysis are 16 years of age, which is the youngest age category on the SLID ‘Person’ file. </w:t>
      </w:r>
      <w:r w:rsidR="009D205F">
        <w:t>F</w:t>
      </w:r>
      <w:r w:rsidRPr="00A573EF">
        <w:t>or ease of analysis the present report groups cases by whether respondents are 16-29, 30-44, 45-54, 55-64 or 65 years and older.</w:t>
      </w:r>
    </w:p>
    <w:p w:rsidR="005B7B03" w:rsidRPr="00A573EF" w:rsidRDefault="00A83813" w:rsidP="00F559BC">
      <w:r w:rsidRPr="00A573EF">
        <w:t>Unless stated otherwise,</w:t>
      </w:r>
      <w:r w:rsidR="005B7B03" w:rsidRPr="00A573EF">
        <w:t xml:space="preserve"> this report focuses on the working-age population 16 to 64 years.</w:t>
      </w:r>
      <w:r w:rsidRPr="00A573EF">
        <w:t xml:space="preserve"> </w:t>
      </w:r>
      <w:r w:rsidR="00A40641" w:rsidRPr="00A573EF">
        <w:t>As w</w:t>
      </w:r>
      <w:r w:rsidR="002D62E8" w:rsidRPr="00A573EF">
        <w:t>ill be shown, poverty among people with disabilities is considerably higher in these years than in the retirement years</w:t>
      </w:r>
      <w:r w:rsidR="00300C06" w:rsidRPr="00A573EF">
        <w:t>, when the old age security system ‘kicks in’ for many seniors, reducing the extent of poverty for many</w:t>
      </w:r>
      <w:r w:rsidR="00A40641" w:rsidRPr="00A573EF">
        <w:t xml:space="preserve">. </w:t>
      </w:r>
    </w:p>
    <w:p w:rsidR="00F559BC" w:rsidRDefault="00F559BC" w:rsidP="000146E9">
      <w:pPr>
        <w:pStyle w:val="Heading2"/>
      </w:pPr>
      <w:bookmarkStart w:id="27" w:name="_Toc354137000"/>
      <w:bookmarkStart w:id="28" w:name="_Toc354137355"/>
      <w:bookmarkStart w:id="29" w:name="_Toc361342894"/>
      <w:r>
        <w:lastRenderedPageBreak/>
        <w:t>Provinc</w:t>
      </w:r>
      <w:r w:rsidR="00D91224">
        <w:t>ial Focus</w:t>
      </w:r>
      <w:bookmarkEnd w:id="27"/>
      <w:bookmarkEnd w:id="28"/>
      <w:bookmarkEnd w:id="29"/>
    </w:p>
    <w:p w:rsidR="00F559BC" w:rsidRPr="00A573EF" w:rsidRDefault="00D82C83" w:rsidP="00F559BC">
      <w:r>
        <w:t xml:space="preserve">As </w:t>
      </w:r>
      <w:r w:rsidR="00F559BC" w:rsidRPr="00A573EF">
        <w:t>SLID was not conducted in Yukon, the Northwest Territories or Nunavut</w:t>
      </w:r>
      <w:r w:rsidR="00D32ACB" w:rsidRPr="00F203A6">
        <w:rPr>
          <w:vertAlign w:val="superscript"/>
        </w:rPr>
        <w:footnoteReference w:id="8"/>
      </w:r>
      <w:r w:rsidR="00D32ACB" w:rsidRPr="00F203A6">
        <w:rPr>
          <w:vertAlign w:val="superscript"/>
        </w:rPr>
        <w:t xml:space="preserve"> </w:t>
      </w:r>
      <w:r w:rsidR="00F559BC" w:rsidRPr="00A573EF">
        <w:t xml:space="preserve"> the present report focuses only on </w:t>
      </w:r>
      <w:r w:rsidR="005B7B03" w:rsidRPr="00A573EF">
        <w:t xml:space="preserve">people living in </w:t>
      </w:r>
      <w:r w:rsidR="00F559BC" w:rsidRPr="00A573EF">
        <w:t>the ten provinces.</w:t>
      </w:r>
      <w:r w:rsidR="00F559BC" w:rsidRPr="00F203A6">
        <w:rPr>
          <w:vertAlign w:val="superscript"/>
        </w:rPr>
        <w:t xml:space="preserve"> </w:t>
      </w:r>
      <w:r w:rsidR="00F559BC" w:rsidRPr="00A573EF">
        <w:t>On the province variable</w:t>
      </w:r>
      <w:r w:rsidR="005B7B03" w:rsidRPr="00A573EF">
        <w:t xml:space="preserve"> in SLID</w:t>
      </w:r>
      <w:r w:rsidR="00F559BC" w:rsidRPr="00A573EF">
        <w:t xml:space="preserve"> a small number of people (409 </w:t>
      </w:r>
      <w:proofErr w:type="spellStart"/>
      <w:r w:rsidR="00F559BC" w:rsidRPr="00A573EF">
        <w:t>unweighted</w:t>
      </w:r>
      <w:proofErr w:type="spellEnd"/>
      <w:r w:rsidR="00F559BC" w:rsidRPr="00A573EF">
        <w:t xml:space="preserve"> records for an estimated 264,330 people) are classified as ‘don’t know’</w:t>
      </w:r>
      <w:r>
        <w:t xml:space="preserve"> in terms of province of residence</w:t>
      </w:r>
      <w:r w:rsidR="00F559BC" w:rsidRPr="00A573EF">
        <w:t>. To keep the data consistent across the tables generated for this report, these cases have been removed from the analysis.</w:t>
      </w:r>
    </w:p>
    <w:p w:rsidR="00FD31CD" w:rsidRDefault="00EC3FC0" w:rsidP="000146E9">
      <w:pPr>
        <w:pStyle w:val="Heading2"/>
      </w:pPr>
      <w:bookmarkStart w:id="30" w:name="_Toc354137002"/>
      <w:bookmarkStart w:id="31" w:name="_Toc354137357"/>
      <w:bookmarkStart w:id="32" w:name="_Toc361342895"/>
      <w:r>
        <w:t>Data Limitations</w:t>
      </w:r>
      <w:r w:rsidR="006D26A7">
        <w:t>,</w:t>
      </w:r>
      <w:r w:rsidR="00AF0904">
        <w:t xml:space="preserve"> Suppressions</w:t>
      </w:r>
      <w:r w:rsidR="006D26A7">
        <w:t xml:space="preserve"> and Cautions</w:t>
      </w:r>
      <w:bookmarkEnd w:id="30"/>
      <w:bookmarkEnd w:id="31"/>
      <w:bookmarkEnd w:id="32"/>
    </w:p>
    <w:p w:rsidR="00EC3FC0" w:rsidRPr="00A573EF" w:rsidRDefault="00EC3FC0">
      <w:proofErr w:type="gramStart"/>
      <w:r w:rsidRPr="00A573EF">
        <w:t>On SLID</w:t>
      </w:r>
      <w:r w:rsidR="00D32ACB">
        <w:t>,</w:t>
      </w:r>
      <w:r w:rsidRPr="00A573EF">
        <w:t xml:space="preserve"> as on many other general population surveys that capture information about people with disabilities</w:t>
      </w:r>
      <w:r w:rsidR="00D32ACB">
        <w:t>,</w:t>
      </w:r>
      <w:r w:rsidRPr="00A573EF">
        <w:t xml:space="preserve"> the disability counts are quite low</w:t>
      </w:r>
      <w:r w:rsidR="00AF0904" w:rsidRPr="00A573EF">
        <w:t xml:space="preserve">: </w:t>
      </w:r>
      <w:r w:rsidR="00FD6119" w:rsidRPr="00A573EF">
        <w:t xml:space="preserve">9,725 </w:t>
      </w:r>
      <w:proofErr w:type="spellStart"/>
      <w:r w:rsidR="00AF0904" w:rsidRPr="00A573EF">
        <w:t>unweighted</w:t>
      </w:r>
      <w:proofErr w:type="spellEnd"/>
      <w:r w:rsidR="00AF0904" w:rsidRPr="00A573EF">
        <w:t xml:space="preserve"> counts </w:t>
      </w:r>
      <w:r w:rsidR="00FD6119" w:rsidRPr="00A573EF">
        <w:t xml:space="preserve">of working-age people </w:t>
      </w:r>
      <w:r w:rsidR="00784ED2" w:rsidRPr="00A573EF">
        <w:t xml:space="preserve">16 to 64 years </w:t>
      </w:r>
      <w:r w:rsidR="00FD6119" w:rsidRPr="00A573EF">
        <w:t xml:space="preserve">residing in the 10 provinces </w:t>
      </w:r>
      <w:r w:rsidR="00AF0904" w:rsidRPr="00A573EF">
        <w:t xml:space="preserve">for an estimated </w:t>
      </w:r>
      <w:r w:rsidR="009B4A61" w:rsidRPr="00A573EF">
        <w:t xml:space="preserve">working-age </w:t>
      </w:r>
      <w:r w:rsidR="00AF0904" w:rsidRPr="00A573EF">
        <w:t xml:space="preserve">population </w:t>
      </w:r>
      <w:r w:rsidR="009B4A61" w:rsidRPr="00A573EF">
        <w:t xml:space="preserve">with disabilities </w:t>
      </w:r>
      <w:r w:rsidR="00FD6119" w:rsidRPr="00A573EF">
        <w:t>in those provinces of 5.3</w:t>
      </w:r>
      <w:r w:rsidR="008139EB" w:rsidRPr="00A573EF">
        <w:t xml:space="preserve"> million</w:t>
      </w:r>
      <w:r w:rsidR="00AF0904" w:rsidRPr="00A573EF">
        <w:t>.</w:t>
      </w:r>
      <w:proofErr w:type="gramEnd"/>
      <w:r w:rsidR="00AF0904" w:rsidRPr="00A573EF">
        <w:t xml:space="preserve"> Low sample size presents significant challenges when it comes to conducting multi-layered analysis such as conducted, here. </w:t>
      </w:r>
      <w:r w:rsidR="008139EB" w:rsidRPr="00A573EF">
        <w:t>For instance, 1,</w:t>
      </w:r>
      <w:r w:rsidR="00FD6119" w:rsidRPr="00A573EF">
        <w:t>111</w:t>
      </w:r>
      <w:r w:rsidR="008139EB" w:rsidRPr="00A573EF">
        <w:t xml:space="preserve"> </w:t>
      </w:r>
      <w:proofErr w:type="spellStart"/>
      <w:r w:rsidR="008139EB" w:rsidRPr="00A573EF">
        <w:t>unweighted</w:t>
      </w:r>
      <w:proofErr w:type="spellEnd"/>
      <w:r w:rsidR="008139EB" w:rsidRPr="00A573EF">
        <w:t xml:space="preserve"> cases </w:t>
      </w:r>
      <w:r w:rsidR="00D7514A">
        <w:t xml:space="preserve">in SLID </w:t>
      </w:r>
      <w:r w:rsidR="008139EB" w:rsidRPr="00A573EF">
        <w:t xml:space="preserve">represent </w:t>
      </w:r>
      <w:r w:rsidR="004B2B10" w:rsidRPr="00A573EF">
        <w:t>931,970</w:t>
      </w:r>
      <w:r w:rsidR="008139EB" w:rsidRPr="00A573EF">
        <w:t xml:space="preserve"> </w:t>
      </w:r>
      <w:r w:rsidR="004B2B10" w:rsidRPr="00A573EF">
        <w:t xml:space="preserve">working-age </w:t>
      </w:r>
      <w:r w:rsidR="008139EB" w:rsidRPr="00A573EF">
        <w:t xml:space="preserve">people with disabilities </w:t>
      </w:r>
      <w:r w:rsidR="004B2B10" w:rsidRPr="00A573EF">
        <w:t>in the 10 provinces whose</w:t>
      </w:r>
      <w:r w:rsidR="008139EB" w:rsidRPr="00A573EF">
        <w:t xml:space="preserve"> household incomes </w:t>
      </w:r>
      <w:r w:rsidR="004B2B10" w:rsidRPr="00A573EF">
        <w:t xml:space="preserve">fall </w:t>
      </w:r>
      <w:r w:rsidR="008139EB" w:rsidRPr="00A573EF">
        <w:t xml:space="preserve">below the after tax LICO. </w:t>
      </w:r>
      <w:r w:rsidR="00706F0E" w:rsidRPr="00A573EF">
        <w:t xml:space="preserve">Cutting 1,111 by ten provinces, or by age and gender, brings </w:t>
      </w:r>
      <w:r w:rsidR="00D7514A">
        <w:t>statistical</w:t>
      </w:r>
      <w:r w:rsidR="00C2792F" w:rsidRPr="00A573EF">
        <w:t xml:space="preserve"> </w:t>
      </w:r>
      <w:r w:rsidR="00706F0E" w:rsidRPr="00A573EF">
        <w:t>analys</w:t>
      </w:r>
      <w:r w:rsidR="00C2792F" w:rsidRPr="00A573EF">
        <w:t>is</w:t>
      </w:r>
      <w:r w:rsidR="00706F0E" w:rsidRPr="00A573EF">
        <w:t xml:space="preserve"> up against reliability challenges. </w:t>
      </w:r>
      <w:r w:rsidR="00AF0904" w:rsidRPr="00A573EF">
        <w:t xml:space="preserve">Where the data </w:t>
      </w:r>
      <w:r w:rsidR="004B2B10" w:rsidRPr="00A573EF">
        <w:t>do not meet the</w:t>
      </w:r>
      <w:r w:rsidR="00AF0904" w:rsidRPr="00A573EF">
        <w:t xml:space="preserve"> release guidelines of Statistics Canada (201</w:t>
      </w:r>
      <w:r w:rsidR="008139EB" w:rsidRPr="00A573EF">
        <w:t>1</w:t>
      </w:r>
      <w:r w:rsidR="00AF0904" w:rsidRPr="00A573EF">
        <w:t>)</w:t>
      </w:r>
      <w:r w:rsidR="00F6334A" w:rsidRPr="00A573EF">
        <w:t xml:space="preserve"> </w:t>
      </w:r>
      <w:r w:rsidR="00AF0904" w:rsidRPr="00A573EF">
        <w:t>the</w:t>
      </w:r>
      <w:r w:rsidR="004B2B10" w:rsidRPr="00A573EF">
        <w:t xml:space="preserve"> data</w:t>
      </w:r>
      <w:r w:rsidR="00AF0904" w:rsidRPr="00A573EF">
        <w:t xml:space="preserve"> have been suppressed and indicated with the letter ‘F’. Where the cell counts are </w:t>
      </w:r>
      <w:r w:rsidR="006D26A7" w:rsidRPr="00A573EF">
        <w:t xml:space="preserve">very </w:t>
      </w:r>
      <w:r w:rsidR="00AF0904" w:rsidRPr="00A573EF">
        <w:t>low but useable, a cautionary note has been indicated with the letter ‘E’.</w:t>
      </w:r>
      <w:r w:rsidR="00D91224" w:rsidRPr="00A573EF">
        <w:t xml:space="preserve"> Owing to low count cells, most of the province-level data and analysis </w:t>
      </w:r>
      <w:r w:rsidR="00D82C83">
        <w:t>omits reference to</w:t>
      </w:r>
      <w:r w:rsidR="00D91224" w:rsidRPr="00A573EF">
        <w:t xml:space="preserve"> Prince Edward Island, although the cases for this province are included in the totals for Canada.</w:t>
      </w:r>
    </w:p>
    <w:p w:rsidR="00F6334A" w:rsidRPr="00A573EF" w:rsidRDefault="00706F0E" w:rsidP="00267C57">
      <w:r w:rsidRPr="00A573EF">
        <w:t xml:space="preserve">The </w:t>
      </w:r>
      <w:r w:rsidR="00C2792F" w:rsidRPr="00A573EF">
        <w:t xml:space="preserve">raw data on the </w:t>
      </w:r>
      <w:r w:rsidRPr="00A573EF">
        <w:t xml:space="preserve">income variables in SLID round the figures. </w:t>
      </w:r>
      <w:r w:rsidR="00D7514A" w:rsidRPr="00A573EF">
        <w:t>The exact increments of rounding depend on the income variable in question and where a given case falls on the variable.</w:t>
      </w:r>
      <w:r w:rsidR="00D7514A" w:rsidRPr="00DA34A0">
        <w:rPr>
          <w:vertAlign w:val="superscript"/>
        </w:rPr>
        <w:footnoteReference w:id="9"/>
      </w:r>
      <w:r w:rsidR="00D7514A" w:rsidRPr="00DA34A0">
        <w:t xml:space="preserve"> </w:t>
      </w:r>
      <w:r w:rsidR="00DB5F43" w:rsidRPr="00A573EF">
        <w:t xml:space="preserve">The rounding introduces a degree of error into the calculations that would not be found if the figures to the nearest dollar were used. </w:t>
      </w:r>
      <w:r w:rsidR="00C2792F" w:rsidRPr="00A573EF">
        <w:t xml:space="preserve">That said, Statistics Canada has </w:t>
      </w:r>
      <w:r w:rsidR="000112A7" w:rsidRPr="00A573EF">
        <w:t>adopted procedures</w:t>
      </w:r>
      <w:r w:rsidR="00C2792F" w:rsidRPr="00A573EF">
        <w:t xml:space="preserve"> to ensure </w:t>
      </w:r>
      <w:r w:rsidR="00267C57" w:rsidRPr="00A573EF">
        <w:t>“preserving</w:t>
      </w:r>
      <w:r w:rsidR="003A35FA" w:rsidRPr="00A573EF">
        <w:t xml:space="preserve"> </w:t>
      </w:r>
      <w:r w:rsidR="00267C57" w:rsidRPr="00A573EF">
        <w:t>integrity of the [data] file for the purpose of producing precise and accurate statistics” (Statistics Canada, 2011:8).</w:t>
      </w:r>
    </w:p>
    <w:p w:rsidR="006665DD" w:rsidRDefault="006665DD" w:rsidP="002A69C2">
      <w:r>
        <w:br/>
      </w:r>
    </w:p>
    <w:p w:rsidR="002A69C2" w:rsidRDefault="006665DD" w:rsidP="002A69C2">
      <w:r>
        <w:br w:type="page"/>
      </w:r>
      <w:r>
        <w:lastRenderedPageBreak/>
        <w:br w:type="page"/>
      </w:r>
    </w:p>
    <w:p w:rsidR="00665FF5" w:rsidRDefault="00665FF5" w:rsidP="008364B1">
      <w:pPr>
        <w:pStyle w:val="Heading1"/>
      </w:pPr>
      <w:bookmarkStart w:id="33" w:name="_Toc354137007"/>
      <w:bookmarkStart w:id="34" w:name="_Toc354137362"/>
      <w:bookmarkStart w:id="35" w:name="_Toc361342896"/>
      <w:r>
        <w:t>Key Findings</w:t>
      </w:r>
      <w:bookmarkEnd w:id="33"/>
      <w:bookmarkEnd w:id="34"/>
      <w:bookmarkEnd w:id="35"/>
    </w:p>
    <w:p w:rsidR="00AC5B4D" w:rsidRDefault="00FD2922" w:rsidP="008364B1">
      <w:r>
        <w:t xml:space="preserve">The vast majority (94.8%) of </w:t>
      </w:r>
      <w:r w:rsidR="008364B1" w:rsidRPr="003665D6">
        <w:t xml:space="preserve">the total income </w:t>
      </w:r>
      <w:r>
        <w:t xml:space="preserve">of </w:t>
      </w:r>
      <w:r w:rsidR="008364B1" w:rsidRPr="003665D6">
        <w:t>working-age</w:t>
      </w:r>
      <w:r w:rsidR="000F187F">
        <w:t xml:space="preserve"> </w:t>
      </w:r>
      <w:r w:rsidR="008364B1" w:rsidRPr="003665D6">
        <w:t>people with</w:t>
      </w:r>
      <w:r w:rsidR="00C21A82">
        <w:t>out</w:t>
      </w:r>
      <w:r w:rsidR="008364B1" w:rsidRPr="003665D6">
        <w:t xml:space="preserve"> disabilities who are living a</w:t>
      </w:r>
      <w:r w:rsidR="000F187F">
        <w:t xml:space="preserve">t or above </w:t>
      </w:r>
      <w:r w:rsidR="008364B1" w:rsidRPr="003665D6">
        <w:t xml:space="preserve">the poverty line is from </w:t>
      </w:r>
      <w:r w:rsidR="003237AB">
        <w:t xml:space="preserve">private </w:t>
      </w:r>
      <w:r w:rsidR="008364B1" w:rsidRPr="003665D6">
        <w:t xml:space="preserve">market </w:t>
      </w:r>
      <w:r w:rsidR="003237AB">
        <w:t>sources</w:t>
      </w:r>
      <w:r w:rsidR="002B570F">
        <w:t xml:space="preserve"> </w:t>
      </w:r>
      <w:r w:rsidR="008364B1" w:rsidRPr="003665D6">
        <w:t xml:space="preserve">vs. </w:t>
      </w:r>
      <w:r>
        <w:t xml:space="preserve">a small fraction from </w:t>
      </w:r>
      <w:r w:rsidR="008364B1" w:rsidRPr="003665D6">
        <w:t>government transfers (</w:t>
      </w:r>
      <w:r>
        <w:t>4.2%</w:t>
      </w:r>
      <w:r w:rsidR="008364B1" w:rsidRPr="003665D6">
        <w:t>)</w:t>
      </w:r>
      <w:r w:rsidR="000F187F">
        <w:t>;</w:t>
      </w:r>
      <w:r w:rsidR="008364B1" w:rsidRPr="003665D6">
        <w:t xml:space="preserve"> most of their total income is from wages and salaries (</w:t>
      </w:r>
      <w:r>
        <w:t>81.8</w:t>
      </w:r>
      <w:r w:rsidR="008364B1" w:rsidRPr="003665D6">
        <w:t>%) and self-employment (</w:t>
      </w:r>
      <w:r>
        <w:t>6.4</w:t>
      </w:r>
      <w:r w:rsidR="00C92020">
        <w:t>% – Appendix Table 1</w:t>
      </w:r>
      <w:r>
        <w:t>c</w:t>
      </w:r>
      <w:r w:rsidR="00C92020">
        <w:t>)</w:t>
      </w:r>
      <w:r w:rsidR="008364B1" w:rsidRPr="003665D6">
        <w:t xml:space="preserve">. </w:t>
      </w:r>
      <w:r w:rsidR="00673F53">
        <w:t xml:space="preserve">On average they have a total income of nearly $42,000. </w:t>
      </w:r>
    </w:p>
    <w:p w:rsidR="00AC5B4D" w:rsidRDefault="005B6419" w:rsidP="008364B1">
      <w:r>
        <w:t>In sharp contrast</w:t>
      </w:r>
      <w:r w:rsidR="003237AB">
        <w:t xml:space="preserve">, </w:t>
      </w:r>
      <w:r w:rsidR="00673F53">
        <w:t>more than</w:t>
      </w:r>
      <w:r w:rsidR="00B06EAA">
        <w:t xml:space="preserve"> two-thirds</w:t>
      </w:r>
      <w:r w:rsidR="003237AB">
        <w:t xml:space="preserve"> of the total income of working-age poor people with disabilities is from transfers (</w:t>
      </w:r>
      <w:r w:rsidR="00B06EAA">
        <w:t>65.2%) and</w:t>
      </w:r>
      <w:r w:rsidR="00673F53">
        <w:t xml:space="preserve"> only</w:t>
      </w:r>
      <w:r w:rsidR="00B06EAA">
        <w:t xml:space="preserve"> about a third</w:t>
      </w:r>
      <w:r w:rsidR="00A944E7">
        <w:t xml:space="preserve"> is</w:t>
      </w:r>
      <w:r w:rsidR="00B06EAA">
        <w:t xml:space="preserve"> from private market sources (34.8%)</w:t>
      </w:r>
      <w:r w:rsidR="00C21A82">
        <w:t>;</w:t>
      </w:r>
      <w:r w:rsidR="00B06EAA">
        <w:t xml:space="preserve"> wages and salaries (23.7%) and self-employment (2.5%) compris</w:t>
      </w:r>
      <w:r w:rsidR="00C21A82">
        <w:t>e</w:t>
      </w:r>
      <w:r w:rsidR="00B06EAA">
        <w:t xml:space="preserve"> about a quarter</w:t>
      </w:r>
      <w:r w:rsidR="00C92020">
        <w:t xml:space="preserve"> (Appendix Table 1a)</w:t>
      </w:r>
      <w:r w:rsidR="00B06EAA">
        <w:t xml:space="preserve">. </w:t>
      </w:r>
      <w:r w:rsidR="00673F53">
        <w:t xml:space="preserve">Their average income is low indeed: </w:t>
      </w:r>
      <w:r w:rsidR="00E46CDA">
        <w:t>$10,335 in 2009 compared with $11,940 among working-age poor people without disabilities</w:t>
      </w:r>
      <w:r w:rsidR="00A944E7">
        <w:t>. For the latter,</w:t>
      </w:r>
      <w:r w:rsidR="00AC5B4D">
        <w:t xml:space="preserve"> market income comprises a much larger component of total income (71.4%) and transfers a much smaller component (28.6% – </w:t>
      </w:r>
      <w:r w:rsidR="003F6133">
        <w:t>Appendix Tables A1a and A1</w:t>
      </w:r>
      <w:r w:rsidR="00FD2922">
        <w:t>b)</w:t>
      </w:r>
      <w:r w:rsidR="00E46CDA">
        <w:t>.</w:t>
      </w:r>
      <w:r w:rsidR="00AC5B4D">
        <w:t xml:space="preserve"> </w:t>
      </w:r>
    </w:p>
    <w:p w:rsidR="00B06EAA" w:rsidRDefault="00AC5B4D" w:rsidP="008364B1">
      <w:r>
        <w:t>T</w:t>
      </w:r>
      <w:r w:rsidRPr="00A573EF">
        <w:t xml:space="preserve">he </w:t>
      </w:r>
      <w:r>
        <w:t xml:space="preserve">single largest component of the incomes of working-age poor </w:t>
      </w:r>
      <w:r w:rsidRPr="00A573EF">
        <w:t xml:space="preserve">people with disabilities </w:t>
      </w:r>
      <w:r>
        <w:t>is social assistance, followed next by federal and provincial child benefits and the C/QPP</w:t>
      </w:r>
      <w:r w:rsidRPr="00A573EF">
        <w:t xml:space="preserve">. For low income </w:t>
      </w:r>
      <w:r w:rsidR="009E3DCA">
        <w:t xml:space="preserve">poor </w:t>
      </w:r>
      <w:r w:rsidRPr="00A573EF">
        <w:t xml:space="preserve">people without disabilities, market income employment is the single largest component of their income. The exact contours of these patterns vary by province, </w:t>
      </w:r>
      <w:r>
        <w:t xml:space="preserve">living arrangement, </w:t>
      </w:r>
      <w:r w:rsidRPr="00A573EF">
        <w:t>age</w:t>
      </w:r>
      <w:r>
        <w:t xml:space="preserve"> and</w:t>
      </w:r>
      <w:r w:rsidR="00892EA8">
        <w:t xml:space="preserve"> gender. T</w:t>
      </w:r>
      <w:r w:rsidRPr="00A573EF">
        <w:t>he Canada and Quebec Pension Plans compris</w:t>
      </w:r>
      <w:r w:rsidR="00892EA8">
        <w:t>e</w:t>
      </w:r>
      <w:r w:rsidRPr="00A573EF">
        <w:t xml:space="preserve"> a greater share of the incomes of</w:t>
      </w:r>
      <w:r>
        <w:t xml:space="preserve"> low income</w:t>
      </w:r>
      <w:r w:rsidRPr="00A573EF">
        <w:t xml:space="preserve"> men and women with disabilities as they approach the retirement years</w:t>
      </w:r>
      <w:r w:rsidR="00892EA8">
        <w:t>. C</w:t>
      </w:r>
      <w:r w:rsidRPr="00A573EF">
        <w:t>hild benefits compris</w:t>
      </w:r>
      <w:r w:rsidR="00892EA8">
        <w:t>e</w:t>
      </w:r>
      <w:r w:rsidRPr="00A573EF">
        <w:t xml:space="preserve"> a significant share of </w:t>
      </w:r>
      <w:r w:rsidR="000173EB">
        <w:t>the incomes of</w:t>
      </w:r>
      <w:r w:rsidRPr="00A573EF">
        <w:t xml:space="preserve"> poor women regardless of disability.</w:t>
      </w:r>
      <w:r w:rsidR="00094999">
        <w:t xml:space="preserve"> </w:t>
      </w:r>
      <w:r w:rsidR="00A944E7">
        <w:t>T</w:t>
      </w:r>
      <w:r w:rsidR="00094999">
        <w:t xml:space="preserve">he OAS/GIS and C/QPP are </w:t>
      </w:r>
      <w:r w:rsidR="007F413F">
        <w:t>very</w:t>
      </w:r>
      <w:r w:rsidR="00892EA8">
        <w:t xml:space="preserve"> </w:t>
      </w:r>
      <w:r w:rsidR="00094999">
        <w:t>important sources of income among poor seniors</w:t>
      </w:r>
      <w:r w:rsidR="00A944E7">
        <w:t>, again irrespective of disability</w:t>
      </w:r>
      <w:r w:rsidR="00094999">
        <w:t>.</w:t>
      </w:r>
    </w:p>
    <w:p w:rsidR="00815F6F" w:rsidRDefault="00815F6F" w:rsidP="008364B1">
      <w:r>
        <w:t xml:space="preserve">The following two discussions </w:t>
      </w:r>
      <w:r w:rsidR="00FD1269">
        <w:t xml:space="preserve">focus on working-age people by province and living arrangement. The </w:t>
      </w:r>
      <w:r w:rsidR="00153462">
        <w:t>perspective</w:t>
      </w:r>
      <w:r w:rsidR="00FD1269">
        <w:t xml:space="preserve"> then </w:t>
      </w:r>
      <w:r w:rsidR="00C21A82">
        <w:t xml:space="preserve">shifts </w:t>
      </w:r>
      <w:r w:rsidR="00E46CDA">
        <w:t xml:space="preserve">in the third discussion </w:t>
      </w:r>
      <w:r w:rsidR="00C21A82">
        <w:t xml:space="preserve">to age and gender and </w:t>
      </w:r>
      <w:r w:rsidR="00153462">
        <w:t xml:space="preserve">the focus </w:t>
      </w:r>
      <w:r w:rsidR="00FD1269">
        <w:t xml:space="preserve">widens to </w:t>
      </w:r>
      <w:r w:rsidR="00C21A82">
        <w:t>include</w:t>
      </w:r>
      <w:r w:rsidR="00FD1269">
        <w:t xml:space="preserve"> seniors.</w:t>
      </w:r>
    </w:p>
    <w:p w:rsidR="00643572" w:rsidRDefault="00643572" w:rsidP="000146E9">
      <w:pPr>
        <w:pStyle w:val="Heading2"/>
      </w:pPr>
      <w:bookmarkStart w:id="36" w:name="_Toc354137016"/>
      <w:bookmarkStart w:id="37" w:name="_Toc354137371"/>
      <w:bookmarkStart w:id="38" w:name="_Toc361342897"/>
      <w:r>
        <w:t>Low Income and Province</w:t>
      </w:r>
      <w:bookmarkEnd w:id="36"/>
      <w:bookmarkEnd w:id="37"/>
      <w:r w:rsidR="003F646F">
        <w:t xml:space="preserve"> (Working-Age People)</w:t>
      </w:r>
      <w:bookmarkEnd w:id="38"/>
      <w:r>
        <w:t xml:space="preserve"> </w:t>
      </w:r>
    </w:p>
    <w:p w:rsidR="00946790" w:rsidRDefault="00505D5F" w:rsidP="00946790">
      <w:r>
        <w:t xml:space="preserve">This section of the report focuses on the </w:t>
      </w:r>
      <w:r w:rsidR="009E3DCA">
        <w:t>income sources of</w:t>
      </w:r>
      <w:r w:rsidR="00643572" w:rsidRPr="003665D6">
        <w:t xml:space="preserve"> working-age poor people with and without disabilities by province.</w:t>
      </w:r>
      <w:r>
        <w:t xml:space="preserve"> Appendix Tables A1a and A1b provide the basis for much of the analysis</w:t>
      </w:r>
      <w:r w:rsidR="00643572" w:rsidRPr="003665D6">
        <w:t xml:space="preserve"> </w:t>
      </w:r>
      <w:proofErr w:type="gramStart"/>
      <w:r w:rsidR="00643572" w:rsidRPr="003665D6">
        <w:t>As</w:t>
      </w:r>
      <w:proofErr w:type="gramEnd"/>
      <w:r w:rsidR="00643572" w:rsidRPr="003665D6">
        <w:t xml:space="preserve"> general benchmarks for </w:t>
      </w:r>
      <w:r w:rsidR="00BD1853" w:rsidRPr="003665D6">
        <w:t xml:space="preserve">background </w:t>
      </w:r>
      <w:r w:rsidR="009E3DCA">
        <w:t>information</w:t>
      </w:r>
      <w:r w:rsidR="00643572" w:rsidRPr="003665D6">
        <w:t xml:space="preserve">, </w:t>
      </w:r>
      <w:r w:rsidR="00DB0D09" w:rsidRPr="003665D6">
        <w:t xml:space="preserve">Appendix </w:t>
      </w:r>
      <w:r w:rsidR="00815F6F">
        <w:t>Table 1</w:t>
      </w:r>
      <w:r w:rsidR="00643572" w:rsidRPr="003665D6">
        <w:t>c provide</w:t>
      </w:r>
      <w:r w:rsidR="00DB0D09" w:rsidRPr="003665D6">
        <w:t>s</w:t>
      </w:r>
      <w:r w:rsidR="00643572" w:rsidRPr="003665D6">
        <w:t xml:space="preserve"> the situation for </w:t>
      </w:r>
      <w:r w:rsidR="00DB0D09" w:rsidRPr="003665D6">
        <w:t xml:space="preserve">non-disabled </w:t>
      </w:r>
      <w:r w:rsidR="00643572" w:rsidRPr="003665D6">
        <w:t xml:space="preserve">working-age people who are living </w:t>
      </w:r>
      <w:r w:rsidR="00F1460C" w:rsidRPr="003665D6">
        <w:t xml:space="preserve">at or </w:t>
      </w:r>
      <w:r w:rsidR="00643572" w:rsidRPr="003665D6">
        <w:t xml:space="preserve">above the poverty line and </w:t>
      </w:r>
      <w:r w:rsidR="000F187F">
        <w:t>Appendix Table 1</w:t>
      </w:r>
      <w:r w:rsidR="00DB0D09" w:rsidRPr="003665D6">
        <w:t xml:space="preserve">d shows the situation for </w:t>
      </w:r>
      <w:r w:rsidR="00643572" w:rsidRPr="003665D6">
        <w:t xml:space="preserve">working-age people </w:t>
      </w:r>
      <w:r w:rsidR="00DB0D09" w:rsidRPr="003665D6">
        <w:t>overall, regardless of disability and low income status.</w:t>
      </w:r>
      <w:r w:rsidR="00946790" w:rsidRPr="003665D6">
        <w:t xml:space="preserve"> </w:t>
      </w:r>
    </w:p>
    <w:p w:rsidR="003A29A7" w:rsidRDefault="003A29A7" w:rsidP="003A29A7">
      <w:pPr>
        <w:pStyle w:val="Heading3"/>
      </w:pPr>
      <w:bookmarkStart w:id="39" w:name="_Toc361342898"/>
      <w:r>
        <w:lastRenderedPageBreak/>
        <w:t>Background Statistics</w:t>
      </w:r>
      <w:bookmarkEnd w:id="39"/>
    </w:p>
    <w:p w:rsidR="003A29A7" w:rsidRDefault="003A29A7" w:rsidP="003A29A7">
      <w:r w:rsidRPr="00A573EF">
        <w:t xml:space="preserve">Table </w:t>
      </w:r>
      <w:r>
        <w:t>2</w:t>
      </w:r>
      <w:r w:rsidRPr="00A573EF">
        <w:t xml:space="preserve"> </w:t>
      </w:r>
      <w:r w:rsidR="00C975DF">
        <w:t xml:space="preserve">(below) </w:t>
      </w:r>
      <w:r w:rsidRPr="00A573EF">
        <w:t xml:space="preserve">shows population counts for working-age people (16 to 64 years) by disability and low income status for the 10 provinces. These are the </w:t>
      </w:r>
      <w:r>
        <w:t>number</w:t>
      </w:r>
      <w:r w:rsidRPr="00A573EF">
        <w:t xml:space="preserve">s ‘behind the scenes’ for Appendix Tables </w:t>
      </w:r>
      <w:r>
        <w:t>A</w:t>
      </w:r>
      <w:r w:rsidRPr="00A573EF">
        <w:t>1a</w:t>
      </w:r>
      <w:r>
        <w:t xml:space="preserve"> to A1</w:t>
      </w:r>
      <w:r w:rsidRPr="00A573EF">
        <w:t>d.</w:t>
      </w:r>
    </w:p>
    <w:tbl>
      <w:tblPr>
        <w:tblW w:w="8624" w:type="dxa"/>
        <w:tblInd w:w="93" w:type="dxa"/>
        <w:tblLook w:val="04A0" w:firstRow="1" w:lastRow="0" w:firstColumn="1" w:lastColumn="0" w:noHBand="0" w:noVBand="1"/>
      </w:tblPr>
      <w:tblGrid>
        <w:gridCol w:w="2845"/>
        <w:gridCol w:w="1053"/>
        <w:gridCol w:w="1107"/>
        <w:gridCol w:w="1107"/>
        <w:gridCol w:w="1218"/>
        <w:gridCol w:w="1294"/>
      </w:tblGrid>
      <w:tr w:rsidR="003A29A7" w:rsidRPr="0012454C" w:rsidTr="008F5E45">
        <w:trPr>
          <w:trHeight w:val="20"/>
        </w:trPr>
        <w:tc>
          <w:tcPr>
            <w:tcW w:w="8624"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br w:type="page"/>
            </w:r>
            <w:r w:rsidRPr="005916AE">
              <w:rPr>
                <w:rFonts w:ascii="Calibri" w:eastAsia="Times New Roman" w:hAnsi="Calibri"/>
                <w:b/>
                <w:bCs/>
                <w:color w:val="000000"/>
                <w:sz w:val="22"/>
                <w:szCs w:val="22"/>
              </w:rPr>
              <w:t xml:space="preserve">Table </w:t>
            </w:r>
            <w:r>
              <w:rPr>
                <w:rFonts w:ascii="Calibri" w:eastAsia="Times New Roman" w:hAnsi="Calibri"/>
                <w:b/>
                <w:bCs/>
                <w:color w:val="000000"/>
                <w:sz w:val="22"/>
                <w:szCs w:val="22"/>
              </w:rPr>
              <w:t>2</w:t>
            </w:r>
            <w:r w:rsidRPr="005916AE">
              <w:rPr>
                <w:rFonts w:ascii="Calibri" w:eastAsia="Times New Roman" w:hAnsi="Calibri"/>
                <w:b/>
                <w:bCs/>
                <w:color w:val="000000"/>
                <w:sz w:val="22"/>
                <w:szCs w:val="22"/>
              </w:rPr>
              <w:t>. Working-age people (16-64 years), by disability, after-tax low income status and province, 2009</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2160" w:type="dxa"/>
            <w:gridSpan w:val="2"/>
            <w:tcBorders>
              <w:top w:val="single" w:sz="8" w:space="0" w:color="auto"/>
              <w:left w:val="nil"/>
              <w:bottom w:val="single" w:sz="8" w:space="0" w:color="auto"/>
              <w:right w:val="single" w:sz="8" w:space="0" w:color="auto"/>
            </w:tcBorders>
            <w:shd w:val="clear" w:color="auto" w:fill="auto"/>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With disabilities</w:t>
            </w:r>
          </w:p>
        </w:tc>
        <w:tc>
          <w:tcPr>
            <w:tcW w:w="2325" w:type="dxa"/>
            <w:gridSpan w:val="2"/>
            <w:tcBorders>
              <w:top w:val="single" w:sz="8" w:space="0" w:color="auto"/>
              <w:left w:val="nil"/>
              <w:bottom w:val="single" w:sz="8" w:space="0" w:color="auto"/>
              <w:right w:val="single" w:sz="8" w:space="0" w:color="auto"/>
            </w:tcBorders>
            <w:shd w:val="clear" w:color="auto" w:fill="auto"/>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Without disabilities</w:t>
            </w:r>
          </w:p>
        </w:tc>
        <w:tc>
          <w:tcPr>
            <w:tcW w:w="1294" w:type="dxa"/>
            <w:tcBorders>
              <w:top w:val="nil"/>
              <w:left w:val="nil"/>
              <w:bottom w:val="single" w:sz="8" w:space="0" w:color="auto"/>
              <w:right w:val="single" w:sz="8" w:space="0" w:color="auto"/>
            </w:tcBorders>
            <w:shd w:val="clear" w:color="auto" w:fill="auto"/>
            <w:noWrap/>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r>
      <w:tr w:rsidR="003A29A7" w:rsidRPr="0012454C" w:rsidTr="008F5E45">
        <w:trPr>
          <w:trHeight w:val="20"/>
        </w:trPr>
        <w:tc>
          <w:tcPr>
            <w:tcW w:w="2845" w:type="dxa"/>
            <w:tcBorders>
              <w:top w:val="nil"/>
              <w:left w:val="single" w:sz="8" w:space="0" w:color="auto"/>
              <w:bottom w:val="single" w:sz="8" w:space="0" w:color="auto"/>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1053" w:type="dxa"/>
            <w:tcBorders>
              <w:top w:val="nil"/>
              <w:left w:val="nil"/>
              <w:bottom w:val="single" w:sz="8" w:space="0" w:color="auto"/>
              <w:right w:val="single" w:sz="8" w:space="0" w:color="auto"/>
            </w:tcBorders>
            <w:shd w:val="clear" w:color="auto" w:fill="auto"/>
            <w:vAlign w:val="center"/>
            <w:hideMark/>
          </w:tcPr>
          <w:p w:rsidR="003A29A7" w:rsidRPr="005916AE" w:rsidRDefault="003A29A7"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Low income</w:t>
            </w:r>
          </w:p>
        </w:tc>
        <w:tc>
          <w:tcPr>
            <w:tcW w:w="1107" w:type="dxa"/>
            <w:tcBorders>
              <w:top w:val="nil"/>
              <w:left w:val="nil"/>
              <w:bottom w:val="single" w:sz="8" w:space="0" w:color="auto"/>
              <w:right w:val="single" w:sz="8" w:space="0" w:color="auto"/>
            </w:tcBorders>
            <w:shd w:val="clear" w:color="auto" w:fill="auto"/>
            <w:vAlign w:val="center"/>
            <w:hideMark/>
          </w:tcPr>
          <w:p w:rsidR="003A29A7" w:rsidRPr="005916AE" w:rsidRDefault="003A29A7"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Not low income</w:t>
            </w:r>
          </w:p>
        </w:tc>
        <w:tc>
          <w:tcPr>
            <w:tcW w:w="1107" w:type="dxa"/>
            <w:tcBorders>
              <w:top w:val="nil"/>
              <w:left w:val="nil"/>
              <w:bottom w:val="single" w:sz="8" w:space="0" w:color="auto"/>
              <w:right w:val="single" w:sz="8" w:space="0" w:color="auto"/>
            </w:tcBorders>
            <w:shd w:val="clear" w:color="auto" w:fill="auto"/>
            <w:vAlign w:val="center"/>
            <w:hideMark/>
          </w:tcPr>
          <w:p w:rsidR="003A29A7" w:rsidRPr="005916AE" w:rsidRDefault="003A29A7"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Low income</w:t>
            </w:r>
          </w:p>
        </w:tc>
        <w:tc>
          <w:tcPr>
            <w:tcW w:w="1218" w:type="dxa"/>
            <w:tcBorders>
              <w:top w:val="nil"/>
              <w:left w:val="nil"/>
              <w:bottom w:val="single" w:sz="8" w:space="0" w:color="auto"/>
              <w:right w:val="single" w:sz="8" w:space="0" w:color="auto"/>
            </w:tcBorders>
            <w:shd w:val="clear" w:color="auto" w:fill="auto"/>
            <w:vAlign w:val="center"/>
            <w:hideMark/>
          </w:tcPr>
          <w:p w:rsidR="003A29A7" w:rsidRPr="005916AE" w:rsidRDefault="003A29A7"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Not low income</w:t>
            </w:r>
          </w:p>
        </w:tc>
        <w:tc>
          <w:tcPr>
            <w:tcW w:w="1294" w:type="dxa"/>
            <w:tcBorders>
              <w:top w:val="nil"/>
              <w:left w:val="nil"/>
              <w:bottom w:val="single" w:sz="8" w:space="0" w:color="auto"/>
              <w:right w:val="single" w:sz="8" w:space="0" w:color="auto"/>
            </w:tcBorders>
            <w:shd w:val="clear" w:color="auto" w:fill="auto"/>
            <w:vAlign w:val="center"/>
            <w:hideMark/>
          </w:tcPr>
          <w:p w:rsidR="003A29A7" w:rsidRPr="005916AE" w:rsidRDefault="003A29A7"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Total</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Newfoundland and Labrador</w:t>
            </w:r>
          </w:p>
        </w:tc>
        <w:tc>
          <w:tcPr>
            <w:tcW w:w="1053"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10,900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71,400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12,300</w:t>
            </w:r>
          </w:p>
        </w:tc>
        <w:tc>
          <w:tcPr>
            <w:tcW w:w="1218"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254,800</w:t>
            </w:r>
          </w:p>
        </w:tc>
        <w:tc>
          <w:tcPr>
            <w:tcW w:w="1294"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349,400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Prince Edward Island</w:t>
            </w:r>
          </w:p>
        </w:tc>
        <w:tc>
          <w:tcPr>
            <w:tcW w:w="1053"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20,600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1,600</w:t>
            </w:r>
          </w:p>
        </w:tc>
        <w:tc>
          <w:tcPr>
            <w:tcW w:w="1218"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70,200</w:t>
            </w:r>
          </w:p>
        </w:tc>
        <w:tc>
          <w:tcPr>
            <w:tcW w:w="1294"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94,300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Nova Scotia</w:t>
            </w:r>
          </w:p>
        </w:tc>
        <w:tc>
          <w:tcPr>
            <w:tcW w:w="1053"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19,500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141,100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32,000</w:t>
            </w:r>
          </w:p>
        </w:tc>
        <w:tc>
          <w:tcPr>
            <w:tcW w:w="1218"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428,900</w:t>
            </w:r>
          </w:p>
        </w:tc>
        <w:tc>
          <w:tcPr>
            <w:tcW w:w="1294"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621,400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New Brunswick</w:t>
            </w:r>
          </w:p>
        </w:tc>
        <w:tc>
          <w:tcPr>
            <w:tcW w:w="1053"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19,600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106,300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19,900</w:t>
            </w:r>
          </w:p>
        </w:tc>
        <w:tc>
          <w:tcPr>
            <w:tcW w:w="1218"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359,100</w:t>
            </w:r>
          </w:p>
        </w:tc>
        <w:tc>
          <w:tcPr>
            <w:tcW w:w="1294"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504,900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Quebec</w:t>
            </w:r>
          </w:p>
        </w:tc>
        <w:tc>
          <w:tcPr>
            <w:tcW w:w="1053"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216,200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911,100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304,400</w:t>
            </w:r>
          </w:p>
        </w:tc>
        <w:tc>
          <w:tcPr>
            <w:tcW w:w="1218"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3,818,200</w:t>
            </w:r>
          </w:p>
        </w:tc>
        <w:tc>
          <w:tcPr>
            <w:tcW w:w="1294"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5,249,900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Ontario</w:t>
            </w:r>
          </w:p>
        </w:tc>
        <w:tc>
          <w:tcPr>
            <w:tcW w:w="1053"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430,800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1,786,900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513,700</w:t>
            </w:r>
          </w:p>
        </w:tc>
        <w:tc>
          <w:tcPr>
            <w:tcW w:w="1218"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5,959,800</w:t>
            </w:r>
          </w:p>
        </w:tc>
        <w:tc>
          <w:tcPr>
            <w:tcW w:w="1294"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8,691,300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Manitoba</w:t>
            </w:r>
          </w:p>
        </w:tc>
        <w:tc>
          <w:tcPr>
            <w:tcW w:w="1053"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30,500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174,400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46,400</w:t>
            </w:r>
          </w:p>
        </w:tc>
        <w:tc>
          <w:tcPr>
            <w:tcW w:w="1218"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503,000</w:t>
            </w:r>
          </w:p>
        </w:tc>
        <w:tc>
          <w:tcPr>
            <w:tcW w:w="1294"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754,300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Saskatchewan</w:t>
            </w:r>
          </w:p>
        </w:tc>
        <w:tc>
          <w:tcPr>
            <w:tcW w:w="1053"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18,900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138,900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24,500</w:t>
            </w:r>
          </w:p>
        </w:tc>
        <w:tc>
          <w:tcPr>
            <w:tcW w:w="1218"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447,100</w:t>
            </w:r>
          </w:p>
        </w:tc>
        <w:tc>
          <w:tcPr>
            <w:tcW w:w="1294"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629,400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Alberta</w:t>
            </w:r>
          </w:p>
        </w:tc>
        <w:tc>
          <w:tcPr>
            <w:tcW w:w="1053"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59,100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449,900</w:t>
            </w:r>
          </w:p>
        </w:tc>
        <w:tc>
          <w:tcPr>
            <w:tcW w:w="1107"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158,800</w:t>
            </w:r>
          </w:p>
        </w:tc>
        <w:tc>
          <w:tcPr>
            <w:tcW w:w="1218"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1,799,500</w:t>
            </w:r>
          </w:p>
        </w:tc>
        <w:tc>
          <w:tcPr>
            <w:tcW w:w="1294" w:type="dxa"/>
            <w:tcBorders>
              <w:top w:val="nil"/>
              <w:left w:val="nil"/>
              <w:bottom w:val="nil"/>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2,467,300</w:t>
            </w:r>
          </w:p>
        </w:tc>
      </w:tr>
      <w:tr w:rsidR="003A29A7" w:rsidRPr="0012454C" w:rsidTr="008F5E45">
        <w:trPr>
          <w:trHeight w:val="20"/>
        </w:trPr>
        <w:tc>
          <w:tcPr>
            <w:tcW w:w="2845" w:type="dxa"/>
            <w:tcBorders>
              <w:top w:val="nil"/>
              <w:left w:val="single" w:sz="8" w:space="0" w:color="auto"/>
              <w:bottom w:val="nil"/>
              <w:right w:val="single" w:sz="8" w:space="0" w:color="auto"/>
            </w:tcBorders>
            <w:shd w:val="clear" w:color="auto" w:fill="auto"/>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British Columbia</w:t>
            </w:r>
          </w:p>
        </w:tc>
        <w:tc>
          <w:tcPr>
            <w:tcW w:w="1053"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124,500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569,500</w:t>
            </w:r>
          </w:p>
        </w:tc>
        <w:tc>
          <w:tcPr>
            <w:tcW w:w="1107"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271,300</w:t>
            </w:r>
          </w:p>
        </w:tc>
        <w:tc>
          <w:tcPr>
            <w:tcW w:w="1218"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2,092,600</w:t>
            </w:r>
          </w:p>
        </w:tc>
        <w:tc>
          <w:tcPr>
            <w:tcW w:w="1294" w:type="dxa"/>
            <w:tcBorders>
              <w:top w:val="nil"/>
              <w:left w:val="nil"/>
              <w:bottom w:val="nil"/>
              <w:right w:val="single" w:sz="8"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3,057,900</w:t>
            </w:r>
          </w:p>
        </w:tc>
      </w:tr>
      <w:tr w:rsidR="003A29A7" w:rsidRPr="0012454C" w:rsidTr="008F5E45">
        <w:trPr>
          <w:trHeight w:val="20"/>
        </w:trPr>
        <w:tc>
          <w:tcPr>
            <w:tcW w:w="2845" w:type="dxa"/>
            <w:tcBorders>
              <w:top w:val="nil"/>
              <w:left w:val="single" w:sz="8" w:space="0" w:color="auto"/>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rPr>
                <w:rFonts w:ascii="Calibri" w:eastAsia="Times New Roman" w:hAnsi="Calibri"/>
                <w:color w:val="000000"/>
                <w:sz w:val="22"/>
                <w:szCs w:val="22"/>
              </w:rPr>
            </w:pPr>
            <w:r w:rsidRPr="005916AE">
              <w:rPr>
                <w:rFonts w:ascii="Calibri" w:eastAsia="Times New Roman" w:hAnsi="Calibri"/>
                <w:color w:val="000000"/>
                <w:sz w:val="22"/>
                <w:szCs w:val="22"/>
              </w:rPr>
              <w:t>Canada (excl. territories)</w:t>
            </w:r>
          </w:p>
        </w:tc>
        <w:tc>
          <w:tcPr>
            <w:tcW w:w="1053" w:type="dxa"/>
            <w:tcBorders>
              <w:top w:val="nil"/>
              <w:left w:val="nil"/>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932,000</w:t>
            </w:r>
          </w:p>
        </w:tc>
        <w:tc>
          <w:tcPr>
            <w:tcW w:w="1107" w:type="dxa"/>
            <w:tcBorders>
              <w:top w:val="nil"/>
              <w:left w:val="nil"/>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4,370,100</w:t>
            </w:r>
          </w:p>
        </w:tc>
        <w:tc>
          <w:tcPr>
            <w:tcW w:w="1107" w:type="dxa"/>
            <w:tcBorders>
              <w:top w:val="nil"/>
              <w:left w:val="nil"/>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1,384,900</w:t>
            </w:r>
          </w:p>
        </w:tc>
        <w:tc>
          <w:tcPr>
            <w:tcW w:w="1218" w:type="dxa"/>
            <w:tcBorders>
              <w:top w:val="nil"/>
              <w:left w:val="nil"/>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15,733,200</w:t>
            </w:r>
          </w:p>
        </w:tc>
        <w:tc>
          <w:tcPr>
            <w:tcW w:w="1294" w:type="dxa"/>
            <w:tcBorders>
              <w:top w:val="nil"/>
              <w:left w:val="nil"/>
              <w:bottom w:val="single" w:sz="8" w:space="0" w:color="auto"/>
              <w:right w:val="single" w:sz="8" w:space="0" w:color="auto"/>
            </w:tcBorders>
            <w:shd w:val="clear" w:color="000000" w:fill="B8CCE4"/>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22,420,100</w:t>
            </w:r>
          </w:p>
        </w:tc>
      </w:tr>
      <w:tr w:rsidR="003A29A7" w:rsidRPr="00B14C1E" w:rsidTr="008F5E45">
        <w:trPr>
          <w:trHeight w:val="20"/>
        </w:trPr>
        <w:tc>
          <w:tcPr>
            <w:tcW w:w="2845"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r w:rsidRPr="00B14C1E">
              <w:rPr>
                <w:rFonts w:ascii="Calibri" w:eastAsia="Times New Roman" w:hAnsi="Calibri"/>
                <w:color w:val="000000"/>
                <w:sz w:val="16"/>
                <w:szCs w:val="16"/>
              </w:rPr>
              <w:t>Source: SLID 2009 PUMF</w:t>
            </w:r>
          </w:p>
        </w:tc>
        <w:tc>
          <w:tcPr>
            <w:tcW w:w="1053"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p>
        </w:tc>
        <w:tc>
          <w:tcPr>
            <w:tcW w:w="1107"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p>
        </w:tc>
        <w:tc>
          <w:tcPr>
            <w:tcW w:w="1107"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p>
        </w:tc>
        <w:tc>
          <w:tcPr>
            <w:tcW w:w="1218"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p>
        </w:tc>
        <w:tc>
          <w:tcPr>
            <w:tcW w:w="1294" w:type="dxa"/>
            <w:tcBorders>
              <w:top w:val="nil"/>
              <w:left w:val="nil"/>
              <w:bottom w:val="nil"/>
              <w:right w:val="nil"/>
            </w:tcBorders>
            <w:shd w:val="clear" w:color="auto" w:fill="auto"/>
            <w:noWrap/>
            <w:vAlign w:val="bottom"/>
            <w:hideMark/>
          </w:tcPr>
          <w:p w:rsidR="003A29A7" w:rsidRPr="00B14C1E" w:rsidRDefault="003A29A7" w:rsidP="008F5E45">
            <w:pPr>
              <w:spacing w:after="0" w:line="240" w:lineRule="auto"/>
              <w:rPr>
                <w:rFonts w:ascii="Calibri" w:eastAsia="Times New Roman" w:hAnsi="Calibri"/>
                <w:color w:val="000000"/>
                <w:sz w:val="16"/>
                <w:szCs w:val="16"/>
              </w:rPr>
            </w:pPr>
          </w:p>
        </w:tc>
      </w:tr>
    </w:tbl>
    <w:p w:rsidR="003A29A7" w:rsidRDefault="003A29A7" w:rsidP="003A29A7">
      <w:pPr>
        <w:rPr>
          <w:highlight w:val="cyan"/>
        </w:rPr>
      </w:pPr>
    </w:p>
    <w:p w:rsidR="003A29A7" w:rsidRDefault="003A29A7" w:rsidP="003A29A7">
      <w:r w:rsidRPr="00A573EF">
        <w:t xml:space="preserve">Figure </w:t>
      </w:r>
      <w:r>
        <w:t>1</w:t>
      </w:r>
      <w:r w:rsidRPr="00A573EF">
        <w:t xml:space="preserve"> shows the disability and low income rates for working-age people. It also shows the </w:t>
      </w:r>
      <w:r>
        <w:t>percentages</w:t>
      </w:r>
      <w:r w:rsidRPr="00A573EF">
        <w:t xml:space="preserve"> of working-age people with disabilities living in poverty. Table </w:t>
      </w:r>
      <w:r>
        <w:t>3</w:t>
      </w:r>
      <w:r w:rsidRPr="00A573EF">
        <w:t xml:space="preserve"> provides details. </w:t>
      </w:r>
    </w:p>
    <w:p w:rsidR="003A29A7" w:rsidRDefault="003A29A7" w:rsidP="003A29A7">
      <w:pPr>
        <w:jc w:val="center"/>
        <w:rPr>
          <w:noProof/>
        </w:rPr>
      </w:pPr>
      <w:r>
        <w:object w:dxaOrig="6761" w:dyaOrig="3511">
          <v:shape id="_x0000_i1025" type="#_x0000_t75" style="width:338.25pt;height:175.5pt" o:ole="" o:allowoverlap="f">
            <v:imagedata r:id="rId21" o:title=""/>
            <o:lock v:ext="edit" aspectratio="f"/>
          </v:shape>
          <o:OLEObject Type="Embed" ProgID="Excel.Sheet.8" ShapeID="_x0000_i1025" DrawAspect="Content" ObjectID="_1444740563" r:id="rId22"/>
        </w:object>
      </w:r>
    </w:p>
    <w:p w:rsidR="003A29A7" w:rsidRDefault="003A29A7" w:rsidP="003A29A7">
      <w:pPr>
        <w:jc w:val="center"/>
      </w:pPr>
    </w:p>
    <w:tbl>
      <w:tblPr>
        <w:tblW w:w="8239" w:type="dxa"/>
        <w:jc w:val="center"/>
        <w:tblInd w:w="-807" w:type="dxa"/>
        <w:tblLook w:val="04A0" w:firstRow="1" w:lastRow="0" w:firstColumn="1" w:lastColumn="0" w:noHBand="0" w:noVBand="1"/>
      </w:tblPr>
      <w:tblGrid>
        <w:gridCol w:w="3047"/>
        <w:gridCol w:w="1066"/>
        <w:gridCol w:w="1040"/>
        <w:gridCol w:w="986"/>
        <w:gridCol w:w="1194"/>
        <w:gridCol w:w="986"/>
      </w:tblGrid>
      <w:tr w:rsidR="003A29A7" w:rsidRPr="005C7254" w:rsidTr="008F5E45">
        <w:trPr>
          <w:trHeight w:val="300"/>
          <w:jc w:val="center"/>
        </w:trPr>
        <w:tc>
          <w:tcPr>
            <w:tcW w:w="8239" w:type="dxa"/>
            <w:gridSpan w:val="6"/>
            <w:tcBorders>
              <w:top w:val="single" w:sz="4" w:space="0" w:color="auto"/>
              <w:left w:val="single" w:sz="4" w:space="0" w:color="auto"/>
              <w:bottom w:val="nil"/>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lastRenderedPageBreak/>
              <w:t xml:space="preserve">Table </w:t>
            </w:r>
            <w:r>
              <w:rPr>
                <w:rFonts w:ascii="Calibri" w:eastAsia="Times New Roman" w:hAnsi="Calibri"/>
                <w:b/>
                <w:bCs/>
                <w:color w:val="000000"/>
                <w:sz w:val="22"/>
                <w:szCs w:val="22"/>
              </w:rPr>
              <w:t>3</w:t>
            </w:r>
            <w:r w:rsidRPr="005916AE">
              <w:rPr>
                <w:rFonts w:ascii="Calibri" w:eastAsia="Times New Roman" w:hAnsi="Calibri"/>
                <w:b/>
                <w:bCs/>
                <w:color w:val="000000"/>
                <w:sz w:val="22"/>
                <w:szCs w:val="22"/>
              </w:rPr>
              <w:t xml:space="preserve">. </w:t>
            </w:r>
            <w:r>
              <w:rPr>
                <w:rFonts w:ascii="Calibri" w:eastAsia="Times New Roman" w:hAnsi="Calibri"/>
                <w:b/>
                <w:bCs/>
                <w:color w:val="000000"/>
                <w:sz w:val="22"/>
                <w:szCs w:val="22"/>
              </w:rPr>
              <w:t>Provincial percentages</w:t>
            </w:r>
            <w:r w:rsidRPr="005916AE">
              <w:rPr>
                <w:rFonts w:ascii="Calibri" w:eastAsia="Times New Roman" w:hAnsi="Calibri"/>
                <w:b/>
                <w:bCs/>
                <w:color w:val="000000"/>
                <w:sz w:val="22"/>
                <w:szCs w:val="22"/>
              </w:rPr>
              <w:t xml:space="preserve"> for disability, after-tax low income status, disabled poor and disabled poor in relation to disability and low income</w:t>
            </w:r>
            <w:r>
              <w:rPr>
                <w:rFonts w:ascii="Calibri" w:eastAsia="Times New Roman" w:hAnsi="Calibri"/>
                <w:b/>
                <w:bCs/>
                <w:color w:val="000000"/>
                <w:sz w:val="22"/>
                <w:szCs w:val="22"/>
              </w:rPr>
              <w:t xml:space="preserve"> </w:t>
            </w:r>
            <w:r w:rsidRPr="005916AE">
              <w:rPr>
                <w:rFonts w:ascii="Calibri" w:eastAsia="Times New Roman" w:hAnsi="Calibri"/>
                <w:b/>
                <w:bCs/>
                <w:color w:val="000000"/>
                <w:sz w:val="22"/>
                <w:szCs w:val="22"/>
              </w:rPr>
              <w:t>(working-age people 16 to 64 years)</w:t>
            </w:r>
          </w:p>
        </w:tc>
      </w:tr>
      <w:tr w:rsidR="003A29A7" w:rsidRPr="005C7254" w:rsidTr="008F5E45">
        <w:trPr>
          <w:trHeight w:val="1200"/>
          <w:jc w:val="center"/>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Pr>
                <w:rFonts w:ascii="Calibri" w:eastAsia="Times New Roman" w:hAnsi="Calibri"/>
                <w:b/>
                <w:bCs/>
                <w:color w:val="000000"/>
                <w:sz w:val="22"/>
                <w:szCs w:val="22"/>
              </w:rPr>
              <w:t xml:space="preserve">Disability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After tax low income</w:t>
            </w:r>
            <w:r>
              <w:rPr>
                <w:rFonts w:ascii="Calibri" w:eastAsia="Times New Roman" w:hAnsi="Calibri"/>
                <w:b/>
                <w:bCs/>
                <w:color w:val="000000"/>
                <w:sz w:val="22"/>
                <w:szCs w:val="22"/>
              </w:rPr>
              <w:t>, i.e., ‘poverty’</w:t>
            </w:r>
            <w:r w:rsidRPr="005916AE">
              <w:rPr>
                <w:rFonts w:ascii="Calibri" w:eastAsia="Times New Roman" w:hAnsi="Calibri"/>
                <w:b/>
                <w:bCs/>
                <w:color w:val="000000"/>
                <w:sz w:val="22"/>
                <w:szCs w:val="22"/>
              </w:rPr>
              <w:t xml:space="preserve"> </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Pr>
                <w:rFonts w:ascii="Calibri" w:eastAsia="Times New Roman" w:hAnsi="Calibri"/>
                <w:b/>
                <w:bCs/>
                <w:color w:val="000000"/>
                <w:sz w:val="22"/>
                <w:szCs w:val="22"/>
              </w:rPr>
              <w:t xml:space="preserve">Poor &amp; disabled </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Poor &amp; disabled as % of people with disabilities</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3A29A7" w:rsidRPr="005916AE" w:rsidRDefault="003A29A7" w:rsidP="008F5E45">
            <w:pPr>
              <w:keepNext/>
              <w:keepLines/>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Poor &amp; disabled as % of those below the LICO</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Newfoundland and Labrador</w:t>
            </w:r>
          </w:p>
        </w:tc>
        <w:tc>
          <w:tcPr>
            <w:tcW w:w="106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23.6%</w:t>
            </w:r>
          </w:p>
        </w:tc>
        <w:tc>
          <w:tcPr>
            <w:tcW w:w="960"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6.6%</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3.1%</w:t>
            </w:r>
          </w:p>
        </w:tc>
        <w:tc>
          <w:tcPr>
            <w:tcW w:w="1194"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13.3%</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47.1%</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auto" w:fill="auto"/>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Prince Edward Island</w:t>
            </w:r>
          </w:p>
        </w:tc>
        <w:tc>
          <w:tcPr>
            <w:tcW w:w="106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23.8%</w:t>
            </w:r>
          </w:p>
        </w:tc>
        <w:tc>
          <w:tcPr>
            <w:tcW w:w="960"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3.8%</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2.1%</w:t>
            </w:r>
            <w:r w:rsidRPr="005916AE">
              <w:rPr>
                <w:rFonts w:ascii="Calibri" w:eastAsia="Times New Roman" w:hAnsi="Calibri"/>
                <w:color w:val="000000"/>
                <w:sz w:val="22"/>
                <w:szCs w:val="22"/>
                <w:vertAlign w:val="superscript"/>
              </w:rPr>
              <w:t>E</w:t>
            </w:r>
          </w:p>
        </w:tc>
        <w:tc>
          <w:tcPr>
            <w:tcW w:w="1194"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8.6%</w:t>
            </w:r>
            <w:r w:rsidRPr="005916AE">
              <w:rPr>
                <w:rFonts w:ascii="Calibri" w:eastAsia="Times New Roman" w:hAnsi="Calibri"/>
                <w:color w:val="000000"/>
                <w:sz w:val="22"/>
                <w:szCs w:val="22"/>
                <w:vertAlign w:val="superscript"/>
              </w:rPr>
              <w:t xml:space="preserve"> E</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54.1%</w:t>
            </w:r>
            <w:r w:rsidRPr="005916AE">
              <w:rPr>
                <w:rFonts w:ascii="Calibri" w:eastAsia="Times New Roman" w:hAnsi="Calibri"/>
                <w:color w:val="000000"/>
                <w:sz w:val="22"/>
                <w:szCs w:val="22"/>
                <w:vertAlign w:val="superscript"/>
              </w:rPr>
              <w:t xml:space="preserve"> E</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Nova Scotia</w:t>
            </w:r>
          </w:p>
        </w:tc>
        <w:tc>
          <w:tcPr>
            <w:tcW w:w="106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25.8%</w:t>
            </w:r>
          </w:p>
        </w:tc>
        <w:tc>
          <w:tcPr>
            <w:tcW w:w="960"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8.3%</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3.1%</w:t>
            </w:r>
          </w:p>
        </w:tc>
        <w:tc>
          <w:tcPr>
            <w:tcW w:w="1194"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12.1%</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37.8%</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auto" w:fill="auto"/>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New Brunswick</w:t>
            </w:r>
          </w:p>
        </w:tc>
        <w:tc>
          <w:tcPr>
            <w:tcW w:w="106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24.9%</w:t>
            </w:r>
          </w:p>
        </w:tc>
        <w:tc>
          <w:tcPr>
            <w:tcW w:w="960"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7.8%</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3.9%</w:t>
            </w:r>
          </w:p>
        </w:tc>
        <w:tc>
          <w:tcPr>
            <w:tcW w:w="1194"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15.6%</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49.6%</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Quebec</w:t>
            </w:r>
          </w:p>
        </w:tc>
        <w:tc>
          <w:tcPr>
            <w:tcW w:w="106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21.5%</w:t>
            </w:r>
          </w:p>
        </w:tc>
        <w:tc>
          <w:tcPr>
            <w:tcW w:w="960"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9.9%</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4.1%</w:t>
            </w:r>
          </w:p>
        </w:tc>
        <w:tc>
          <w:tcPr>
            <w:tcW w:w="1194"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19.2%</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41.5%</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auto" w:fill="auto"/>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Ontario</w:t>
            </w:r>
          </w:p>
        </w:tc>
        <w:tc>
          <w:tcPr>
            <w:tcW w:w="106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25.5%</w:t>
            </w:r>
          </w:p>
        </w:tc>
        <w:tc>
          <w:tcPr>
            <w:tcW w:w="960"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10.9%</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5.0%</w:t>
            </w:r>
          </w:p>
        </w:tc>
        <w:tc>
          <w:tcPr>
            <w:tcW w:w="1194"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19.4%</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45.6%</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Manitoba</w:t>
            </w:r>
          </w:p>
        </w:tc>
        <w:tc>
          <w:tcPr>
            <w:tcW w:w="106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27.2%</w:t>
            </w:r>
          </w:p>
        </w:tc>
        <w:tc>
          <w:tcPr>
            <w:tcW w:w="960"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10.2%</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4.0%</w:t>
            </w:r>
          </w:p>
        </w:tc>
        <w:tc>
          <w:tcPr>
            <w:tcW w:w="1194"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14.9%</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39.6%</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auto" w:fill="auto"/>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Saskatchewan</w:t>
            </w:r>
          </w:p>
        </w:tc>
        <w:tc>
          <w:tcPr>
            <w:tcW w:w="106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25.1%</w:t>
            </w:r>
          </w:p>
        </w:tc>
        <w:tc>
          <w:tcPr>
            <w:tcW w:w="960"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6.9%</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3.0%</w:t>
            </w:r>
          </w:p>
        </w:tc>
        <w:tc>
          <w:tcPr>
            <w:tcW w:w="1194"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12.0%</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43.6%</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Alberta</w:t>
            </w:r>
          </w:p>
        </w:tc>
        <w:tc>
          <w:tcPr>
            <w:tcW w:w="106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20.6%</w:t>
            </w:r>
          </w:p>
        </w:tc>
        <w:tc>
          <w:tcPr>
            <w:tcW w:w="960"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8.8%</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2.4%</w:t>
            </w:r>
          </w:p>
        </w:tc>
        <w:tc>
          <w:tcPr>
            <w:tcW w:w="1194"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11.6%</w:t>
            </w:r>
          </w:p>
        </w:tc>
        <w:tc>
          <w:tcPr>
            <w:tcW w:w="986" w:type="dxa"/>
            <w:tcBorders>
              <w:top w:val="nil"/>
              <w:left w:val="nil"/>
              <w:bottom w:val="nil"/>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27.1%</w:t>
            </w:r>
          </w:p>
        </w:tc>
      </w:tr>
      <w:tr w:rsidR="003A29A7" w:rsidRPr="005C7254" w:rsidTr="008F5E45">
        <w:trPr>
          <w:trHeight w:val="300"/>
          <w:jc w:val="center"/>
        </w:trPr>
        <w:tc>
          <w:tcPr>
            <w:tcW w:w="3047" w:type="dxa"/>
            <w:tcBorders>
              <w:top w:val="nil"/>
              <w:left w:val="single" w:sz="4" w:space="0" w:color="auto"/>
              <w:bottom w:val="nil"/>
              <w:right w:val="single" w:sz="4" w:space="0" w:color="auto"/>
            </w:tcBorders>
            <w:shd w:val="clear" w:color="auto" w:fill="auto"/>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British Columbia</w:t>
            </w:r>
          </w:p>
        </w:tc>
        <w:tc>
          <w:tcPr>
            <w:tcW w:w="106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22.7%</w:t>
            </w:r>
          </w:p>
        </w:tc>
        <w:tc>
          <w:tcPr>
            <w:tcW w:w="960"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12.9%</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4.1%</w:t>
            </w:r>
          </w:p>
        </w:tc>
        <w:tc>
          <w:tcPr>
            <w:tcW w:w="1194"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17.9%</w:t>
            </w:r>
          </w:p>
        </w:tc>
        <w:tc>
          <w:tcPr>
            <w:tcW w:w="986" w:type="dxa"/>
            <w:tcBorders>
              <w:top w:val="nil"/>
              <w:left w:val="nil"/>
              <w:bottom w:val="nil"/>
              <w:right w:val="single" w:sz="4" w:space="0" w:color="auto"/>
            </w:tcBorders>
            <w:shd w:val="clear" w:color="auto" w:fill="auto"/>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31.5%</w:t>
            </w:r>
          </w:p>
        </w:tc>
      </w:tr>
      <w:tr w:rsidR="003A29A7" w:rsidRPr="005C7254" w:rsidTr="008F5E45">
        <w:trPr>
          <w:trHeight w:val="300"/>
          <w:jc w:val="center"/>
        </w:trPr>
        <w:tc>
          <w:tcPr>
            <w:tcW w:w="3047" w:type="dxa"/>
            <w:tcBorders>
              <w:top w:val="nil"/>
              <w:left w:val="single" w:sz="4" w:space="0" w:color="auto"/>
              <w:bottom w:val="single" w:sz="4" w:space="0" w:color="auto"/>
              <w:right w:val="single" w:sz="4" w:space="0" w:color="auto"/>
            </w:tcBorders>
            <w:shd w:val="clear" w:color="000000" w:fill="C5D9F1"/>
            <w:hideMark/>
          </w:tcPr>
          <w:p w:rsidR="003A29A7" w:rsidRPr="005916AE" w:rsidRDefault="003A29A7" w:rsidP="008F5E45">
            <w:pPr>
              <w:keepNext/>
              <w:keepLines/>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Canada (excl. territories)</w:t>
            </w:r>
          </w:p>
        </w:tc>
        <w:tc>
          <w:tcPr>
            <w:tcW w:w="1066"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23.6%</w:t>
            </w:r>
          </w:p>
        </w:tc>
        <w:tc>
          <w:tcPr>
            <w:tcW w:w="96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10.3%</w:t>
            </w:r>
          </w:p>
        </w:tc>
        <w:tc>
          <w:tcPr>
            <w:tcW w:w="986"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4.2%</w:t>
            </w:r>
          </w:p>
        </w:tc>
        <w:tc>
          <w:tcPr>
            <w:tcW w:w="1194"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17.6%</w:t>
            </w:r>
          </w:p>
        </w:tc>
        <w:tc>
          <w:tcPr>
            <w:tcW w:w="986"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keepNext/>
              <w:keepLines/>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40.2%</w:t>
            </w:r>
          </w:p>
        </w:tc>
      </w:tr>
      <w:tr w:rsidR="003A29A7" w:rsidRPr="004104C7" w:rsidTr="008F5E45">
        <w:trPr>
          <w:trHeight w:val="300"/>
          <w:jc w:val="center"/>
        </w:trPr>
        <w:tc>
          <w:tcPr>
            <w:tcW w:w="8239" w:type="dxa"/>
            <w:gridSpan w:val="6"/>
            <w:tcBorders>
              <w:top w:val="single" w:sz="4" w:space="0" w:color="auto"/>
            </w:tcBorders>
            <w:shd w:val="clear" w:color="auto" w:fill="auto"/>
          </w:tcPr>
          <w:p w:rsidR="003A29A7" w:rsidRPr="004104C7" w:rsidRDefault="003A29A7" w:rsidP="008F5E45">
            <w:pPr>
              <w:keepNext/>
              <w:keepLines/>
              <w:spacing w:after="0" w:line="240" w:lineRule="auto"/>
              <w:rPr>
                <w:rFonts w:ascii="Calibri" w:eastAsia="Times New Roman" w:hAnsi="Calibri"/>
                <w:color w:val="000000"/>
                <w:sz w:val="20"/>
                <w:szCs w:val="20"/>
              </w:rPr>
            </w:pPr>
            <w:r w:rsidRPr="004104C7">
              <w:rPr>
                <w:rFonts w:ascii="Calibri" w:eastAsia="Times New Roman" w:hAnsi="Calibri"/>
                <w:color w:val="000000"/>
                <w:sz w:val="20"/>
                <w:szCs w:val="20"/>
              </w:rPr>
              <w:t>Source: SLID 2009 PUMF</w:t>
            </w:r>
          </w:p>
        </w:tc>
      </w:tr>
    </w:tbl>
    <w:p w:rsidR="003A29A7" w:rsidRDefault="003A29A7" w:rsidP="003A29A7"/>
    <w:p w:rsidR="003A29A7" w:rsidRPr="00A573EF" w:rsidRDefault="003A29A7" w:rsidP="003A29A7">
      <w:r w:rsidRPr="00A573EF">
        <w:t xml:space="preserve">As shown on Table </w:t>
      </w:r>
      <w:r>
        <w:t>3</w:t>
      </w:r>
      <w:r w:rsidRPr="00A573EF">
        <w:t xml:space="preserve">, at 20.6% Alberta has the lowest </w:t>
      </w:r>
      <w:r>
        <w:t xml:space="preserve">level of </w:t>
      </w:r>
      <w:r w:rsidRPr="00A573EF">
        <w:t xml:space="preserve">disability among working-age people and </w:t>
      </w:r>
      <w:r>
        <w:t xml:space="preserve">a low income level that </w:t>
      </w:r>
      <w:r w:rsidRPr="00A573EF">
        <w:t xml:space="preserve">is also below the national average </w:t>
      </w:r>
      <w:r>
        <w:t xml:space="preserve">at 8.8% vs. </w:t>
      </w:r>
      <w:r w:rsidRPr="00A573EF">
        <w:t xml:space="preserve">10.3%. With the exception of Prince Edward Island, where the counts are very low and the percentages should be treated with caution, Alberta also has the lowest </w:t>
      </w:r>
      <w:r>
        <w:t>levels</w:t>
      </w:r>
      <w:r w:rsidRPr="00A573EF">
        <w:t xml:space="preserve"> of people with disabilities living in poverty as a share of the total provincial working-age population (2.4%), as a share of people with disabilities (11.6%) and as a share of all in that province living in low income households (27.1%). The highest </w:t>
      </w:r>
      <w:r>
        <w:t>level</w:t>
      </w:r>
      <w:r w:rsidRPr="00A573EF">
        <w:t xml:space="preserve"> of </w:t>
      </w:r>
      <w:r>
        <w:t xml:space="preserve">disabled poor </w:t>
      </w:r>
      <w:r w:rsidRPr="00A573EF">
        <w:t xml:space="preserve">people </w:t>
      </w:r>
      <w:r>
        <w:t xml:space="preserve">(5%) </w:t>
      </w:r>
      <w:r w:rsidRPr="00A573EF">
        <w:t xml:space="preserve">is found in </w:t>
      </w:r>
      <w:r>
        <w:t xml:space="preserve">Canada’s most highly populated province, </w:t>
      </w:r>
      <w:r w:rsidRPr="00A573EF">
        <w:t>Ontario.</w:t>
      </w:r>
    </w:p>
    <w:p w:rsidR="003A29A7" w:rsidRPr="00A573EF" w:rsidRDefault="003A29A7" w:rsidP="003A29A7">
      <w:r>
        <w:t>T</w:t>
      </w:r>
      <w:r w:rsidRPr="00A573EF">
        <w:t>he income of people with jobs tend</w:t>
      </w:r>
      <w:r>
        <w:t>s</w:t>
      </w:r>
      <w:r w:rsidRPr="00A573EF">
        <w:t xml:space="preserve"> to be higher than the income of people without jobs and the employment income of working people generally makes up a </w:t>
      </w:r>
      <w:r>
        <w:t>large</w:t>
      </w:r>
      <w:r w:rsidRPr="00A573EF">
        <w:t xml:space="preserve"> share of total income. </w:t>
      </w:r>
      <w:r>
        <w:t>In which provinces are poor people with disabilities most likely to be working, then? Are their incomes better in those provinces? S</w:t>
      </w:r>
      <w:r w:rsidRPr="00A573EF">
        <w:t>imple employment rate</w:t>
      </w:r>
      <w:r>
        <w:t>s, such as those shown on Table 4,</w:t>
      </w:r>
      <w:r w:rsidRPr="00A573EF">
        <w:t xml:space="preserve"> fail to indicate whether people work full-time or part-time. </w:t>
      </w:r>
      <w:r>
        <w:t>Such rates also fail to indicate people’s access, if any, to occupational benefits such as extended health or workplace-based disability insurance plans.</w:t>
      </w:r>
    </w:p>
    <w:p w:rsidR="003A29A7" w:rsidRDefault="003A29A7" w:rsidP="003A29A7"/>
    <w:tbl>
      <w:tblPr>
        <w:tblW w:w="7700" w:type="dxa"/>
        <w:jc w:val="center"/>
        <w:tblLook w:val="04A0" w:firstRow="1" w:lastRow="0" w:firstColumn="1" w:lastColumn="0" w:noHBand="0" w:noVBand="1"/>
      </w:tblPr>
      <w:tblGrid>
        <w:gridCol w:w="2100"/>
        <w:gridCol w:w="1194"/>
        <w:gridCol w:w="1194"/>
        <w:gridCol w:w="1120"/>
        <w:gridCol w:w="1120"/>
        <w:gridCol w:w="1120"/>
      </w:tblGrid>
      <w:tr w:rsidR="003A29A7" w:rsidRPr="0038480A" w:rsidTr="008F5E45">
        <w:trPr>
          <w:trHeight w:val="20"/>
          <w:jc w:val="center"/>
        </w:trPr>
        <w:tc>
          <w:tcPr>
            <w:tcW w:w="770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lastRenderedPageBreak/>
              <w:t xml:space="preserve">Table </w:t>
            </w:r>
            <w:r>
              <w:rPr>
                <w:rFonts w:ascii="Calibri" w:eastAsia="Times New Roman" w:hAnsi="Calibri"/>
                <w:b/>
                <w:bCs/>
                <w:color w:val="000000"/>
                <w:sz w:val="22"/>
                <w:szCs w:val="22"/>
              </w:rPr>
              <w:t>4</w:t>
            </w:r>
            <w:r w:rsidRPr="005916AE">
              <w:rPr>
                <w:rFonts w:ascii="Calibri" w:eastAsia="Times New Roman" w:hAnsi="Calibri"/>
                <w:b/>
                <w:bCs/>
                <w:color w:val="000000"/>
                <w:sz w:val="22"/>
                <w:szCs w:val="22"/>
              </w:rPr>
              <w:t>. Employment rates of working-age people (16-64 years) by disability, low income, disabled and poor status and province in December, 2009</w:t>
            </w:r>
          </w:p>
        </w:tc>
      </w:tr>
      <w:tr w:rsidR="003A29A7" w:rsidRPr="0038480A" w:rsidTr="008F5E45">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3A29A7" w:rsidRPr="005916AE" w:rsidRDefault="003A29A7"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1120" w:type="dxa"/>
            <w:tcBorders>
              <w:top w:val="nil"/>
              <w:left w:val="nil"/>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 disabilities</w:t>
            </w:r>
          </w:p>
        </w:tc>
        <w:tc>
          <w:tcPr>
            <w:tcW w:w="1120" w:type="dxa"/>
            <w:tcBorders>
              <w:top w:val="nil"/>
              <w:left w:val="nil"/>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Without disabilities</w:t>
            </w:r>
          </w:p>
        </w:tc>
        <w:tc>
          <w:tcPr>
            <w:tcW w:w="1120" w:type="dxa"/>
            <w:tcBorders>
              <w:top w:val="nil"/>
              <w:left w:val="nil"/>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Low income</w:t>
            </w:r>
          </w:p>
        </w:tc>
        <w:tc>
          <w:tcPr>
            <w:tcW w:w="1120" w:type="dxa"/>
            <w:tcBorders>
              <w:top w:val="nil"/>
              <w:left w:val="nil"/>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Not low income</w:t>
            </w:r>
          </w:p>
        </w:tc>
        <w:tc>
          <w:tcPr>
            <w:tcW w:w="1120" w:type="dxa"/>
            <w:tcBorders>
              <w:top w:val="nil"/>
              <w:left w:val="nil"/>
              <w:bottom w:val="single" w:sz="4" w:space="0" w:color="auto"/>
              <w:right w:val="single" w:sz="4" w:space="0" w:color="auto"/>
            </w:tcBorders>
            <w:shd w:val="clear" w:color="auto" w:fill="auto"/>
            <w:vAlign w:val="bottom"/>
            <w:hideMark/>
          </w:tcPr>
          <w:p w:rsidR="003A29A7" w:rsidRPr="005916AE" w:rsidRDefault="003A29A7"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Poor &amp; disabled</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Newfoundland and Labrador</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45.3%</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73.8%</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27.8%</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69.9%</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F</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auto" w:fill="auto"/>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Prince Edward Island</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59.0%</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78.4%</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26.1%</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75.7%</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F</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Nova Scotia</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56.0%</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76.0%</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42.2%</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73.4%</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29.2%</w:t>
            </w:r>
            <w:r w:rsidRPr="005916AE">
              <w:rPr>
                <w:rFonts w:ascii="Calibri" w:eastAsia="Times New Roman" w:hAnsi="Calibri"/>
                <w:color w:val="000000"/>
                <w:sz w:val="22"/>
                <w:szCs w:val="22"/>
                <w:vertAlign w:val="superscript"/>
              </w:rPr>
              <w:t>E</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auto" w:fill="auto"/>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New Brunswick</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55.4%</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77.9%</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33.0%</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75.6%</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16.6%</w:t>
            </w:r>
            <w:r w:rsidRPr="005916AE">
              <w:rPr>
                <w:rFonts w:ascii="Calibri" w:eastAsia="Times New Roman" w:hAnsi="Calibri"/>
                <w:color w:val="000000"/>
                <w:sz w:val="22"/>
                <w:szCs w:val="22"/>
                <w:vertAlign w:val="superscript"/>
              </w:rPr>
              <w:t xml:space="preserve"> E</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Quebec</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52.3%</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77.2%</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41.7%</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75.2%</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18.9%</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auto" w:fill="auto"/>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Ontario</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51.4%</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74.8%</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39.0%</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72.5%</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26.2%</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 xml:space="preserve"> Manitoba</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65.4%</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79.2%</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51.3%</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78.2%</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39.6%</w:t>
            </w:r>
            <w:r w:rsidRPr="005916AE">
              <w:rPr>
                <w:rFonts w:ascii="Calibri" w:eastAsia="Times New Roman" w:hAnsi="Calibri"/>
                <w:color w:val="000000"/>
                <w:sz w:val="22"/>
                <w:szCs w:val="22"/>
                <w:vertAlign w:val="superscript"/>
              </w:rPr>
              <w:t xml:space="preserve"> E</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auto" w:fill="auto"/>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Saskatchewan</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69.8%</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81.5%</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48.5%</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80.8%</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35.7%</w:t>
            </w:r>
            <w:r w:rsidRPr="005916AE">
              <w:rPr>
                <w:rFonts w:ascii="Calibri" w:eastAsia="Times New Roman" w:hAnsi="Calibri"/>
                <w:color w:val="000000"/>
                <w:sz w:val="22"/>
                <w:szCs w:val="22"/>
                <w:vertAlign w:val="superscript"/>
              </w:rPr>
              <w:t xml:space="preserve"> E</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Alberta</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65.1%</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81.0%</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55.9%</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79.8%</w:t>
            </w:r>
          </w:p>
        </w:tc>
        <w:tc>
          <w:tcPr>
            <w:tcW w:w="1120" w:type="dxa"/>
            <w:tcBorders>
              <w:top w:val="nil"/>
              <w:left w:val="nil"/>
              <w:bottom w:val="nil"/>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38.3%</w:t>
            </w:r>
            <w:r w:rsidRPr="005916AE">
              <w:rPr>
                <w:rFonts w:ascii="Calibri" w:eastAsia="Times New Roman" w:hAnsi="Calibri"/>
                <w:color w:val="000000"/>
                <w:sz w:val="22"/>
                <w:szCs w:val="22"/>
                <w:vertAlign w:val="superscript"/>
              </w:rPr>
              <w:t xml:space="preserve"> E</w:t>
            </w:r>
          </w:p>
        </w:tc>
      </w:tr>
      <w:tr w:rsidR="003A29A7" w:rsidRPr="0038480A" w:rsidTr="008F5E45">
        <w:trPr>
          <w:trHeight w:val="20"/>
          <w:jc w:val="center"/>
        </w:trPr>
        <w:tc>
          <w:tcPr>
            <w:tcW w:w="2100" w:type="dxa"/>
            <w:tcBorders>
              <w:top w:val="nil"/>
              <w:left w:val="single" w:sz="4" w:space="0" w:color="auto"/>
              <w:bottom w:val="nil"/>
              <w:right w:val="single" w:sz="4" w:space="0" w:color="auto"/>
            </w:tcBorders>
            <w:shd w:val="clear" w:color="auto" w:fill="auto"/>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British Columbia</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57.8%</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74.9%</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42.1%</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75.3%</w:t>
            </w:r>
          </w:p>
        </w:tc>
        <w:tc>
          <w:tcPr>
            <w:tcW w:w="1120" w:type="dxa"/>
            <w:tcBorders>
              <w:top w:val="nil"/>
              <w:left w:val="nil"/>
              <w:bottom w:val="nil"/>
              <w:right w:val="single" w:sz="4" w:space="0" w:color="auto"/>
            </w:tcBorders>
            <w:shd w:val="clear" w:color="auto" w:fill="auto"/>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32.1%</w:t>
            </w:r>
            <w:r w:rsidRPr="005916AE">
              <w:rPr>
                <w:rFonts w:ascii="Calibri" w:eastAsia="Times New Roman" w:hAnsi="Calibri"/>
                <w:color w:val="000000"/>
                <w:sz w:val="22"/>
                <w:szCs w:val="22"/>
                <w:vertAlign w:val="superscript"/>
              </w:rPr>
              <w:t xml:space="preserve"> E</w:t>
            </w:r>
          </w:p>
        </w:tc>
      </w:tr>
      <w:tr w:rsidR="003A29A7" w:rsidRPr="0038480A" w:rsidTr="008F5E45">
        <w:trPr>
          <w:trHeight w:val="20"/>
          <w:jc w:val="center"/>
        </w:trPr>
        <w:tc>
          <w:tcPr>
            <w:tcW w:w="2100" w:type="dxa"/>
            <w:tcBorders>
              <w:top w:val="nil"/>
              <w:left w:val="single" w:sz="4" w:space="0" w:color="auto"/>
              <w:bottom w:val="single" w:sz="4" w:space="0" w:color="auto"/>
              <w:right w:val="single" w:sz="4" w:space="0" w:color="auto"/>
            </w:tcBorders>
            <w:shd w:val="clear" w:color="000000" w:fill="C5D9F1"/>
            <w:vAlign w:val="center"/>
            <w:hideMark/>
          </w:tcPr>
          <w:p w:rsidR="003A29A7" w:rsidRPr="005916AE" w:rsidRDefault="003A29A7" w:rsidP="008F5E45">
            <w:pPr>
              <w:spacing w:after="0" w:line="240" w:lineRule="auto"/>
              <w:rPr>
                <w:rFonts w:ascii="Calibri" w:eastAsia="Times New Roman" w:hAnsi="Calibri" w:cs="Arial"/>
                <w:color w:val="000000"/>
                <w:sz w:val="22"/>
                <w:szCs w:val="22"/>
              </w:rPr>
            </w:pPr>
            <w:r w:rsidRPr="005916AE">
              <w:rPr>
                <w:rFonts w:ascii="Calibri" w:eastAsia="Times New Roman" w:hAnsi="Calibri" w:cs="Arial"/>
                <w:color w:val="000000"/>
                <w:sz w:val="22"/>
                <w:szCs w:val="22"/>
              </w:rPr>
              <w:t>Canada (excl. territories)</w:t>
            </w:r>
          </w:p>
        </w:tc>
        <w:tc>
          <w:tcPr>
            <w:tcW w:w="112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55.0%</w:t>
            </w:r>
          </w:p>
        </w:tc>
        <w:tc>
          <w:tcPr>
            <w:tcW w:w="112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76.5%</w:t>
            </w:r>
          </w:p>
        </w:tc>
        <w:tc>
          <w:tcPr>
            <w:tcW w:w="112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42.2%</w:t>
            </w:r>
          </w:p>
        </w:tc>
        <w:tc>
          <w:tcPr>
            <w:tcW w:w="112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74.8%</w:t>
            </w:r>
          </w:p>
        </w:tc>
        <w:tc>
          <w:tcPr>
            <w:tcW w:w="1120" w:type="dxa"/>
            <w:tcBorders>
              <w:top w:val="nil"/>
              <w:left w:val="nil"/>
              <w:bottom w:val="single" w:sz="4" w:space="0" w:color="auto"/>
              <w:right w:val="single" w:sz="4" w:space="0" w:color="auto"/>
            </w:tcBorders>
            <w:shd w:val="clear" w:color="000000" w:fill="C5D9F1"/>
            <w:noWrap/>
            <w:vAlign w:val="center"/>
            <w:hideMark/>
          </w:tcPr>
          <w:p w:rsidR="003A29A7" w:rsidRPr="005916AE" w:rsidRDefault="003A29A7"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26.4%</w:t>
            </w:r>
          </w:p>
        </w:tc>
      </w:tr>
      <w:tr w:rsidR="003A29A7" w:rsidRPr="0038480A" w:rsidTr="008F5E45">
        <w:trPr>
          <w:trHeight w:val="300"/>
          <w:jc w:val="center"/>
        </w:trPr>
        <w:tc>
          <w:tcPr>
            <w:tcW w:w="7700" w:type="dxa"/>
            <w:gridSpan w:val="6"/>
            <w:tcBorders>
              <w:top w:val="single" w:sz="4" w:space="0" w:color="auto"/>
              <w:bottom w:val="nil"/>
              <w:right w:val="nil"/>
            </w:tcBorders>
            <w:shd w:val="clear" w:color="auto" w:fill="auto"/>
            <w:vAlign w:val="center"/>
            <w:hideMark/>
          </w:tcPr>
          <w:p w:rsidR="003A29A7" w:rsidRDefault="003A29A7" w:rsidP="008F5E45">
            <w:pPr>
              <w:spacing w:after="0" w:line="240" w:lineRule="auto"/>
              <w:rPr>
                <w:rFonts w:ascii="Arial" w:eastAsia="Times New Roman" w:hAnsi="Arial" w:cs="Arial"/>
                <w:color w:val="000000"/>
                <w:sz w:val="18"/>
                <w:szCs w:val="18"/>
              </w:rPr>
            </w:pPr>
            <w:r w:rsidRPr="0038480A">
              <w:rPr>
                <w:rFonts w:ascii="Arial" w:eastAsia="Times New Roman" w:hAnsi="Arial" w:cs="Arial"/>
                <w:color w:val="000000"/>
                <w:sz w:val="18"/>
                <w:szCs w:val="18"/>
              </w:rPr>
              <w:t>Source: SLID 2009</w:t>
            </w:r>
          </w:p>
          <w:p w:rsidR="003A29A7" w:rsidRDefault="003A29A7" w:rsidP="008F5E4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F – Sample size too small for data to be reliable</w:t>
            </w:r>
          </w:p>
          <w:p w:rsidR="003A29A7" w:rsidRPr="0038480A" w:rsidRDefault="003A29A7" w:rsidP="008F5E4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 – Use with caution</w:t>
            </w:r>
          </w:p>
        </w:tc>
      </w:tr>
    </w:tbl>
    <w:p w:rsidR="003A29A7" w:rsidRDefault="003A29A7" w:rsidP="003A29A7"/>
    <w:p w:rsidR="003A29A7" w:rsidRDefault="003A29A7" w:rsidP="003A29A7">
      <w:r w:rsidRPr="00A573EF">
        <w:t xml:space="preserve">Table </w:t>
      </w:r>
      <w:r>
        <w:t>5</w:t>
      </w:r>
      <w:r w:rsidRPr="00A573EF">
        <w:t xml:space="preserve"> shows the total number of hours worked for pay at all jobs in 2009</w:t>
      </w:r>
      <w:r>
        <w:t>, including zero hours for people who did not work for pay that year. It</w:t>
      </w:r>
      <w:r w:rsidRPr="00A573EF">
        <w:t xml:space="preserve"> shows that people with disabilities who were poor worked the most hours in Manitoba (1,064) and least in Newfoundland and Labrador (169) in 2009. The general pattern is that, with the exception of Nova Scotia, more hours were worked by disabled poor people west of Ontario than in Ontario eastwards and that the hours worked in the ‘west’ are above the 440 hour national average. That finding coincides with the generally higher than national employment rates for disabled poor people west of Ontario</w:t>
      </w:r>
      <w:r>
        <w:t>,</w:t>
      </w:r>
      <w:r w:rsidRPr="00A573EF">
        <w:t xml:space="preserve"> with the exception of Nova Scotia</w:t>
      </w:r>
      <w:r>
        <w:t xml:space="preserve"> to the east</w:t>
      </w:r>
      <w:r w:rsidRPr="00A573EF">
        <w:t>.</w:t>
      </w:r>
      <w:r>
        <w:t xml:space="preserve"> The finding does not neatly coincide with the higher than average incomes among poor people with disabilities shown on Appendix Table 1a, however. For instance, poor people with disabilities worked as many or more hours than the national average in Nova Scotia, Saskatchewan and British Columbia but had total incomes below the national average. People worked many more hours than average in Manitoba (Table 5) but their total income was only a little above the national average (Appendix Table 1a). A factor that may help explain such patterns could be dissimilar hourly wage rates across the provinces and the industrial sectors for jobs held by working poor people with disabilities.</w:t>
      </w:r>
    </w:p>
    <w:p w:rsidR="003A29A7" w:rsidRDefault="003A29A7" w:rsidP="003A29A7">
      <w:r>
        <w:br w:type="page"/>
      </w:r>
    </w:p>
    <w:tbl>
      <w:tblPr>
        <w:tblW w:w="7560" w:type="dxa"/>
        <w:jc w:val="center"/>
        <w:tblCellMar>
          <w:left w:w="0" w:type="dxa"/>
          <w:right w:w="0" w:type="dxa"/>
        </w:tblCellMar>
        <w:tblLook w:val="04A0" w:firstRow="1" w:lastRow="0" w:firstColumn="1" w:lastColumn="0" w:noHBand="0" w:noVBand="1"/>
      </w:tblPr>
      <w:tblGrid>
        <w:gridCol w:w="2760"/>
        <w:gridCol w:w="960"/>
        <w:gridCol w:w="960"/>
        <w:gridCol w:w="960"/>
        <w:gridCol w:w="960"/>
        <w:gridCol w:w="960"/>
      </w:tblGrid>
      <w:tr w:rsidR="003A29A7" w:rsidTr="008F5E45">
        <w:trPr>
          <w:cantSplit/>
          <w:trHeight w:val="20"/>
          <w:jc w:val="center"/>
        </w:trPr>
        <w:tc>
          <w:tcPr>
            <w:tcW w:w="7560"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29A7" w:rsidRPr="00295CB5" w:rsidRDefault="003A29A7" w:rsidP="008F5E45">
            <w:pPr>
              <w:spacing w:after="0" w:line="240" w:lineRule="auto"/>
              <w:rPr>
                <w:rFonts w:ascii="Calibri" w:hAnsi="Calibri"/>
                <w:b/>
                <w:bCs/>
                <w:color w:val="000000"/>
              </w:rPr>
            </w:pPr>
            <w:r>
              <w:br w:type="page"/>
            </w:r>
            <w:r w:rsidRPr="00295CB5">
              <w:rPr>
                <w:rFonts w:ascii="Calibri" w:hAnsi="Calibri"/>
                <w:b/>
                <w:bCs/>
                <w:color w:val="000000"/>
              </w:rPr>
              <w:t>Table 5. All hours worked for pay at all jobs in 2009 by working-age people, by disability, low income, disabled and poor status and province</w:t>
            </w:r>
          </w:p>
        </w:tc>
      </w:tr>
      <w:tr w:rsidR="003A29A7" w:rsidTr="008F5E45">
        <w:trPr>
          <w:cantSplit/>
          <w:trHeight w:val="20"/>
          <w:jc w:val="center"/>
        </w:trPr>
        <w:tc>
          <w:tcPr>
            <w:tcW w:w="2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rPr>
                <w:rFonts w:ascii="Calibri" w:hAnsi="Calibri" w:cs="Arial"/>
                <w:b/>
                <w:bCs/>
                <w:color w:val="000000"/>
              </w:rPr>
            </w:pPr>
            <w:r w:rsidRPr="00295CB5">
              <w:rPr>
                <w:rFonts w:ascii="Calibri" w:hAnsi="Calibri" w:cs="Arial"/>
                <w:b/>
                <w:bCs/>
                <w:color w:val="000000"/>
              </w:rPr>
              <w:t> </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jc w:val="center"/>
              <w:rPr>
                <w:rFonts w:ascii="Calibri" w:hAnsi="Calibri" w:cs="Arial"/>
                <w:b/>
                <w:bCs/>
                <w:color w:val="000000"/>
              </w:rPr>
            </w:pPr>
            <w:r w:rsidRPr="00295CB5">
              <w:rPr>
                <w:rFonts w:ascii="Calibri" w:hAnsi="Calibri" w:cs="Arial"/>
                <w:b/>
                <w:bCs/>
                <w:color w:val="000000"/>
              </w:rPr>
              <w:t>Disability</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jc w:val="center"/>
              <w:rPr>
                <w:rFonts w:ascii="Calibri" w:hAnsi="Calibri" w:cs="Arial"/>
                <w:b/>
                <w:bCs/>
                <w:color w:val="000000"/>
              </w:rPr>
            </w:pPr>
            <w:r w:rsidRPr="00295CB5">
              <w:rPr>
                <w:rFonts w:ascii="Calibri" w:hAnsi="Calibri" w:cs="Arial"/>
                <w:b/>
                <w:bCs/>
                <w:color w:val="000000"/>
              </w:rPr>
              <w:t>No disability</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jc w:val="center"/>
              <w:rPr>
                <w:rFonts w:ascii="Calibri" w:hAnsi="Calibri" w:cs="Arial"/>
                <w:b/>
                <w:bCs/>
                <w:color w:val="000000"/>
              </w:rPr>
            </w:pPr>
            <w:r w:rsidRPr="00295CB5">
              <w:rPr>
                <w:rFonts w:ascii="Calibri" w:hAnsi="Calibri" w:cs="Arial"/>
                <w:b/>
                <w:bCs/>
                <w:color w:val="000000"/>
              </w:rPr>
              <w:t>All low income</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jc w:val="center"/>
              <w:rPr>
                <w:rFonts w:ascii="Calibri" w:hAnsi="Calibri" w:cs="Arial"/>
                <w:b/>
                <w:bCs/>
                <w:color w:val="000000"/>
              </w:rPr>
            </w:pPr>
            <w:r w:rsidRPr="00295CB5">
              <w:rPr>
                <w:rFonts w:ascii="Calibri" w:hAnsi="Calibri" w:cs="Arial"/>
                <w:b/>
                <w:bCs/>
                <w:color w:val="000000"/>
              </w:rPr>
              <w:t>All not low income</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3A29A7" w:rsidRPr="00295CB5" w:rsidRDefault="003A29A7" w:rsidP="008F5E45">
            <w:pPr>
              <w:spacing w:after="0" w:line="240" w:lineRule="auto"/>
              <w:jc w:val="center"/>
              <w:rPr>
                <w:rFonts w:ascii="Calibri" w:hAnsi="Calibri" w:cs="Arial"/>
                <w:b/>
                <w:bCs/>
                <w:color w:val="000000"/>
              </w:rPr>
            </w:pPr>
            <w:r w:rsidRPr="00295CB5">
              <w:rPr>
                <w:rFonts w:ascii="Calibri" w:hAnsi="Calibri" w:cs="Arial"/>
                <w:b/>
                <w:bCs/>
                <w:color w:val="000000"/>
              </w:rPr>
              <w:t>Disabled &amp; poor</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Newfoundland and Labrador</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880</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1,496</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516</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1,410</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169</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Prince Edward Island</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1,334</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1,646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513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1,613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F</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Nova Scotia</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1,113</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1,551</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743</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1,500</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441</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New Brunswick</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1,079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1,545</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570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1,501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234</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Quebec</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1,019</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1,430</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758</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1,406</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355</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Ontario</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980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1,433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644</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1,399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399</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Manitoba</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1,350</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1,534</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1,079</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1,529</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1,064</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Saskatchewan</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1,391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1,661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973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1,640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720</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Alberta</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1,319</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1,584</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911</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1,589</w:t>
            </w:r>
          </w:p>
        </w:tc>
        <w:tc>
          <w:tcPr>
            <w:tcW w:w="0" w:type="auto"/>
            <w:tcBorders>
              <w:top w:val="nil"/>
              <w:left w:val="nil"/>
              <w:bottom w:val="nil"/>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478</w:t>
            </w:r>
          </w:p>
        </w:tc>
      </w:tr>
      <w:tr w:rsidR="003A29A7" w:rsidTr="008F5E45">
        <w:trPr>
          <w:cantSplit/>
          <w:trHeight w:val="20"/>
          <w:jc w:val="center"/>
        </w:trPr>
        <w:tc>
          <w:tcPr>
            <w:tcW w:w="2760" w:type="dxa"/>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British Columbia</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1,132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1,431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735</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1,457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568</w:t>
            </w:r>
          </w:p>
        </w:tc>
      </w:tr>
      <w:tr w:rsidR="003A29A7" w:rsidTr="008F5E45">
        <w:trPr>
          <w:cantSplit/>
          <w:trHeight w:val="20"/>
          <w:jc w:val="center"/>
        </w:trPr>
        <w:tc>
          <w:tcPr>
            <w:tcW w:w="2760"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hideMark/>
          </w:tcPr>
          <w:p w:rsidR="003A29A7" w:rsidRPr="00295CB5" w:rsidRDefault="003A29A7" w:rsidP="008F5E45">
            <w:pPr>
              <w:spacing w:after="0" w:line="240" w:lineRule="auto"/>
              <w:rPr>
                <w:rFonts w:ascii="Calibri" w:hAnsi="Calibri" w:cs="Arial"/>
                <w:color w:val="000000"/>
              </w:rPr>
            </w:pPr>
            <w:r w:rsidRPr="00295CB5">
              <w:rPr>
                <w:rFonts w:ascii="Calibri" w:hAnsi="Calibri" w:cs="Arial"/>
                <w:color w:val="000000"/>
              </w:rPr>
              <w:t>Canada (excl. territories)</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1,074</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1,466</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731</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1,448</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A29A7" w:rsidRPr="00295CB5" w:rsidRDefault="003A29A7" w:rsidP="008F5E45">
            <w:pPr>
              <w:spacing w:after="0" w:line="240" w:lineRule="auto"/>
              <w:jc w:val="right"/>
              <w:rPr>
                <w:rFonts w:ascii="Calibri" w:hAnsi="Calibri" w:cs="Arial"/>
                <w:color w:val="000000"/>
              </w:rPr>
            </w:pPr>
            <w:r w:rsidRPr="00295CB5">
              <w:rPr>
                <w:rFonts w:ascii="Calibri" w:hAnsi="Calibri" w:cs="Arial"/>
                <w:color w:val="000000"/>
              </w:rPr>
              <w:t>440</w:t>
            </w:r>
          </w:p>
        </w:tc>
      </w:tr>
      <w:tr w:rsidR="003A29A7" w:rsidRPr="00723305" w:rsidTr="008F5E45">
        <w:trPr>
          <w:trHeight w:val="300"/>
          <w:jc w:val="center"/>
        </w:trPr>
        <w:tc>
          <w:tcPr>
            <w:tcW w:w="7560" w:type="dxa"/>
            <w:gridSpan w:val="6"/>
            <w:tcBorders>
              <w:top w:val="single" w:sz="4" w:space="0" w:color="auto"/>
              <w:left w:val="nil"/>
              <w:bottom w:val="nil"/>
            </w:tcBorders>
            <w:shd w:val="clear" w:color="auto" w:fill="auto"/>
            <w:noWrap/>
            <w:tcMar>
              <w:top w:w="15" w:type="dxa"/>
              <w:left w:w="15" w:type="dxa"/>
              <w:bottom w:w="0" w:type="dxa"/>
              <w:right w:w="15" w:type="dxa"/>
            </w:tcMar>
            <w:vAlign w:val="bottom"/>
            <w:hideMark/>
          </w:tcPr>
          <w:p w:rsidR="003A29A7" w:rsidRPr="00723305" w:rsidRDefault="003A29A7" w:rsidP="008F5E45">
            <w:pPr>
              <w:spacing w:line="240" w:lineRule="auto"/>
              <w:rPr>
                <w:rFonts w:ascii="Calibri" w:hAnsi="Calibri"/>
                <w:color w:val="000000"/>
                <w:sz w:val="16"/>
                <w:szCs w:val="16"/>
              </w:rPr>
            </w:pPr>
            <w:r w:rsidRPr="00723305">
              <w:rPr>
                <w:rFonts w:ascii="Calibri" w:hAnsi="Calibri"/>
                <w:color w:val="000000"/>
                <w:sz w:val="16"/>
                <w:szCs w:val="16"/>
              </w:rPr>
              <w:t>Source: SLID 2009</w:t>
            </w:r>
          </w:p>
        </w:tc>
      </w:tr>
    </w:tbl>
    <w:p w:rsidR="003A29A7" w:rsidRPr="00A573EF" w:rsidRDefault="003A29A7" w:rsidP="003A29A7">
      <w:r>
        <w:t xml:space="preserve">Individuals’ </w:t>
      </w:r>
      <w:r w:rsidRPr="00A573EF">
        <w:t>RRSP withdrawals reflect ‘cash on hand’ in the reference year</w:t>
      </w:r>
      <w:r>
        <w:t xml:space="preserve"> but are not included in SLID’s variable for total income for people younger than 65 years. D</w:t>
      </w:r>
      <w:r w:rsidRPr="00A573EF">
        <w:t xml:space="preserve">etails on this income source are presented separately </w:t>
      </w:r>
      <w:r>
        <w:t>in Appendix Table 5. Poor people with disabilities withdrew most from RRSPs in Newfoundland and Labrador, where the average income (Appendix Table A1a) and hours worked by poor people with disabilities (Table 5) were very low.</w:t>
      </w:r>
    </w:p>
    <w:p w:rsidR="004A4139" w:rsidRDefault="00A75CEA" w:rsidP="0011244C">
      <w:pPr>
        <w:pStyle w:val="Heading3"/>
      </w:pPr>
      <w:bookmarkStart w:id="40" w:name="_Toc354137019"/>
      <w:bookmarkStart w:id="41" w:name="_Toc354137374"/>
      <w:bookmarkStart w:id="42" w:name="_Toc361342899"/>
      <w:r>
        <w:t>... Poor People</w:t>
      </w:r>
      <w:r w:rsidR="00A75ECC">
        <w:t xml:space="preserve"> w</w:t>
      </w:r>
      <w:r w:rsidR="004A4139">
        <w:t>ith Disabilities</w:t>
      </w:r>
      <w:bookmarkEnd w:id="40"/>
      <w:bookmarkEnd w:id="41"/>
      <w:bookmarkEnd w:id="42"/>
    </w:p>
    <w:p w:rsidR="00DB0D09" w:rsidRPr="003665D6" w:rsidRDefault="000F187F">
      <w:r>
        <w:t>Appendix Table 1</w:t>
      </w:r>
      <w:r w:rsidR="00F82970" w:rsidRPr="003665D6">
        <w:t xml:space="preserve">a </w:t>
      </w:r>
      <w:r w:rsidR="00C45C6D" w:rsidRPr="003665D6">
        <w:t xml:space="preserve">provides provincial details </w:t>
      </w:r>
      <w:r w:rsidR="004A4139" w:rsidRPr="003665D6">
        <w:t>showing</w:t>
      </w:r>
      <w:r w:rsidR="00C45C6D" w:rsidRPr="003665D6">
        <w:t xml:space="preserve"> </w:t>
      </w:r>
      <w:r w:rsidR="00F82970" w:rsidRPr="003665D6">
        <w:t xml:space="preserve">the makeup of </w:t>
      </w:r>
      <w:r w:rsidR="0011244C" w:rsidRPr="003665D6">
        <w:t xml:space="preserve">total </w:t>
      </w:r>
      <w:r w:rsidR="00F82970" w:rsidRPr="003665D6">
        <w:t>income for working-age poor people with disabilities.</w:t>
      </w:r>
      <w:r w:rsidR="004A4139" w:rsidRPr="003665D6">
        <w:t xml:space="preserve"> </w:t>
      </w:r>
      <w:r w:rsidR="009E3DCA">
        <w:t>Key findings are as follows:</w:t>
      </w:r>
    </w:p>
    <w:p w:rsidR="00C41ECD" w:rsidRPr="003665D6" w:rsidRDefault="009730D5" w:rsidP="000D12E6">
      <w:pPr>
        <w:numPr>
          <w:ilvl w:val="0"/>
          <w:numId w:val="22"/>
        </w:numPr>
      </w:pPr>
      <w:r w:rsidRPr="003665D6">
        <w:t>Compared with their average total income nationally ($</w:t>
      </w:r>
      <w:r w:rsidR="00B82706">
        <w:t>10,3</w:t>
      </w:r>
      <w:r w:rsidR="00941E53">
        <w:t>3</w:t>
      </w:r>
      <w:r w:rsidR="00B82706">
        <w:t>5</w:t>
      </w:r>
      <w:r w:rsidRPr="003665D6">
        <w:t>), average incomes among working-age poor people with disabilities are highest in Alberta ($11,482), Ontario ($10,693) and Manitoba (10,532). They are lowest in New Brunswick ($7</w:t>
      </w:r>
      <w:r w:rsidR="0053603A" w:rsidRPr="003665D6">
        <w:t>,</w:t>
      </w:r>
      <w:r w:rsidRPr="003665D6">
        <w:t>771)</w:t>
      </w:r>
      <w:r w:rsidR="00C41ECD" w:rsidRPr="003665D6">
        <w:t>,</w:t>
      </w:r>
      <w:r w:rsidR="0053603A" w:rsidRPr="003665D6">
        <w:t xml:space="preserve"> Newfoundland and Labrador ($8,432)</w:t>
      </w:r>
      <w:r w:rsidR="00C41ECD" w:rsidRPr="003665D6">
        <w:t xml:space="preserve"> and Nova Scotia ($8,565). </w:t>
      </w:r>
    </w:p>
    <w:p w:rsidR="004A4139" w:rsidRPr="003665D6" w:rsidRDefault="00C41ECD" w:rsidP="000D12E6">
      <w:pPr>
        <w:numPr>
          <w:ilvl w:val="0"/>
          <w:numId w:val="22"/>
        </w:numPr>
      </w:pPr>
      <w:r w:rsidRPr="003665D6">
        <w:t>Overall, n</w:t>
      </w:r>
      <w:r w:rsidR="004A4139" w:rsidRPr="003665D6">
        <w:t xml:space="preserve">early two-thirds of </w:t>
      </w:r>
      <w:r w:rsidR="0053603A" w:rsidRPr="003665D6">
        <w:t xml:space="preserve">their </w:t>
      </w:r>
      <w:r w:rsidR="004A4139" w:rsidRPr="003665D6">
        <w:t xml:space="preserve">total income is from government transfers (65.2%) and a little over </w:t>
      </w:r>
      <w:r w:rsidRPr="003665D6">
        <w:t xml:space="preserve">a </w:t>
      </w:r>
      <w:r w:rsidR="004A4139" w:rsidRPr="003665D6">
        <w:t>third (34.8%) is from market income.</w:t>
      </w:r>
      <w:r w:rsidR="00DE40F0" w:rsidRPr="003665D6">
        <w:t xml:space="preserve"> </w:t>
      </w:r>
      <w:r w:rsidR="00C82EC7" w:rsidRPr="003665D6">
        <w:t xml:space="preserve"> </w:t>
      </w:r>
      <w:r w:rsidR="00BF57FC" w:rsidRPr="003665D6">
        <w:t xml:space="preserve">Particularly high </w:t>
      </w:r>
      <w:r w:rsidR="00C82EC7" w:rsidRPr="003665D6">
        <w:t>shares of</w:t>
      </w:r>
      <w:r w:rsidR="00BF57FC" w:rsidRPr="003665D6">
        <w:t xml:space="preserve"> transfer income and low shares of market income are notable in Quebec and the Atlantic provinces. The most extreme variance from the national average </w:t>
      </w:r>
      <w:r w:rsidR="00BF57FC" w:rsidRPr="003665D6">
        <w:lastRenderedPageBreak/>
        <w:t>is Newfoundland and Labrador, where market income comprises only 13.7% and transfers</w:t>
      </w:r>
      <w:r w:rsidR="002C0EE8" w:rsidRPr="003665D6">
        <w:t>,</w:t>
      </w:r>
      <w:r w:rsidR="00BF57FC" w:rsidRPr="003665D6">
        <w:t xml:space="preserve"> 83.6%.</w:t>
      </w:r>
    </w:p>
    <w:p w:rsidR="00DE40F0" w:rsidRPr="003665D6" w:rsidRDefault="00C41ECD" w:rsidP="000D12E6">
      <w:pPr>
        <w:numPr>
          <w:ilvl w:val="0"/>
          <w:numId w:val="22"/>
        </w:numPr>
      </w:pPr>
      <w:r w:rsidRPr="003665D6">
        <w:t>After s</w:t>
      </w:r>
      <w:r w:rsidR="00DE40F0" w:rsidRPr="003665D6">
        <w:t xml:space="preserve">ocial assistance, </w:t>
      </w:r>
      <w:r w:rsidR="006D49BA" w:rsidRPr="003665D6">
        <w:t xml:space="preserve">which </w:t>
      </w:r>
      <w:r w:rsidR="000173EB">
        <w:t>accounts for</w:t>
      </w:r>
      <w:r w:rsidR="00DE40F0" w:rsidRPr="003665D6">
        <w:t xml:space="preserve"> more than a third of </w:t>
      </w:r>
      <w:r w:rsidR="00C5603F" w:rsidRPr="003665D6">
        <w:t xml:space="preserve">their </w:t>
      </w:r>
      <w:r w:rsidR="00DE40F0" w:rsidRPr="003665D6">
        <w:t>income</w:t>
      </w:r>
      <w:r w:rsidR="006D49BA" w:rsidRPr="003665D6">
        <w:t xml:space="preserve"> overall</w:t>
      </w:r>
      <w:r w:rsidR="00DE40F0" w:rsidRPr="003665D6">
        <w:t xml:space="preserve"> (35.3%), federal and provincial child benefits (9.0%) and the C/QPP (8.9%) account for the </w:t>
      </w:r>
      <w:r w:rsidR="00A961D3" w:rsidRPr="003665D6">
        <w:t xml:space="preserve">next </w:t>
      </w:r>
      <w:r w:rsidR="00DE40F0" w:rsidRPr="003665D6">
        <w:t>largest shares of</w:t>
      </w:r>
      <w:r w:rsidR="00C5603F" w:rsidRPr="003665D6">
        <w:t xml:space="preserve"> </w:t>
      </w:r>
      <w:r w:rsidR="00DE40F0" w:rsidRPr="003665D6">
        <w:t>total income</w:t>
      </w:r>
      <w:r w:rsidR="00C5603F" w:rsidRPr="003665D6">
        <w:t xml:space="preserve"> </w:t>
      </w:r>
      <w:r w:rsidR="00A961D3" w:rsidRPr="003665D6">
        <w:t>from transfers among</w:t>
      </w:r>
      <w:r w:rsidR="00C5603F" w:rsidRPr="003665D6">
        <w:t xml:space="preserve"> working-age poor people with disabilities</w:t>
      </w:r>
      <w:r w:rsidR="00795527" w:rsidRPr="003665D6">
        <w:t>. W</w:t>
      </w:r>
      <w:r w:rsidR="00DE40F0" w:rsidRPr="003665D6">
        <w:t>ages and salaries (23.7%</w:t>
      </w:r>
      <w:r w:rsidR="00E10E9F" w:rsidRPr="003665D6">
        <w:t xml:space="preserve"> of total income</w:t>
      </w:r>
      <w:r w:rsidR="00DE40F0" w:rsidRPr="003665D6">
        <w:t xml:space="preserve">) </w:t>
      </w:r>
      <w:r w:rsidR="00795527" w:rsidRPr="003665D6">
        <w:t xml:space="preserve">account for </w:t>
      </w:r>
      <w:r w:rsidR="00DE40F0" w:rsidRPr="003665D6">
        <w:t>the largest share from market income</w:t>
      </w:r>
      <w:r w:rsidR="001218CD" w:rsidRPr="003665D6">
        <w:t>; self-employment accounts for another 2.5%</w:t>
      </w:r>
      <w:r w:rsidR="00DE40F0" w:rsidRPr="003665D6">
        <w:t>.</w:t>
      </w:r>
    </w:p>
    <w:p w:rsidR="000D12E6" w:rsidRPr="003665D6" w:rsidRDefault="000D12E6" w:rsidP="000D12E6">
      <w:pPr>
        <w:numPr>
          <w:ilvl w:val="0"/>
          <w:numId w:val="22"/>
        </w:numPr>
      </w:pPr>
      <w:r w:rsidRPr="003665D6">
        <w:t>While wages and salaries account for about a quarter of the income of working-age disabled poor people overall (23.7%) they comprises much less in Quebec (15.7%), New Brunswick (12.0%) and Newfoundland and Labrador (9.5%), yet half in Alberta (49.7%).</w:t>
      </w:r>
    </w:p>
    <w:p w:rsidR="000D12E6" w:rsidRDefault="000D12E6" w:rsidP="000D12E6">
      <w:pPr>
        <w:numPr>
          <w:ilvl w:val="0"/>
          <w:numId w:val="22"/>
        </w:numPr>
      </w:pPr>
      <w:r w:rsidRPr="003665D6">
        <w:t>Compared with the low national average of 1.3% of income among working-aged poor people with disabilities, the share of private pension income is high in Quebec at 4.2%.</w:t>
      </w:r>
    </w:p>
    <w:p w:rsidR="000D12E6" w:rsidRPr="003665D6" w:rsidRDefault="000D12E6" w:rsidP="000D12E6">
      <w:pPr>
        <w:numPr>
          <w:ilvl w:val="0"/>
          <w:numId w:val="22"/>
        </w:numPr>
      </w:pPr>
      <w:r w:rsidRPr="003665D6">
        <w:t xml:space="preserve">Money from investments makes up only 2.2% of the income of working-age poor people with disabilities overall yet nearly three times as much in British Columbia (6.4%), twice as much in Saskatchewan (4.1%) and notably more in Quebec as well (3.2%). </w:t>
      </w:r>
    </w:p>
    <w:p w:rsidR="00C47BA7" w:rsidRPr="003665D6" w:rsidRDefault="000D12E6" w:rsidP="000D12E6">
      <w:pPr>
        <w:numPr>
          <w:ilvl w:val="0"/>
          <w:numId w:val="22"/>
        </w:numPr>
      </w:pPr>
      <w:r w:rsidRPr="003665D6">
        <w:t>Spousal and child support makes up a relatively high share of the total income of working-age poor people with disabilities in New Brunswick (2.1% compared with the national average of 1.0%)</w:t>
      </w:r>
      <w:r w:rsidR="007B7C31">
        <w:t xml:space="preserve">. As the next point indicates, </w:t>
      </w:r>
      <w:r w:rsidR="009E3DCA">
        <w:t>New Brunswick</w:t>
      </w:r>
      <w:r w:rsidRPr="003665D6">
        <w:t xml:space="preserve"> is also the province with the highest proportion of </w:t>
      </w:r>
      <w:r w:rsidR="007B7C31">
        <w:t>total</w:t>
      </w:r>
      <w:r w:rsidRPr="003665D6">
        <w:t xml:space="preserve"> income </w:t>
      </w:r>
      <w:r w:rsidR="00414507">
        <w:t xml:space="preserve">from </w:t>
      </w:r>
      <w:r w:rsidR="00414507" w:rsidRPr="003665D6">
        <w:t xml:space="preserve">federal and provincial child benefits </w:t>
      </w:r>
      <w:r w:rsidRPr="003665D6">
        <w:t>among wo</w:t>
      </w:r>
      <w:r w:rsidR="00414507">
        <w:t>rking-age poor people with disabilities</w:t>
      </w:r>
      <w:r w:rsidRPr="003665D6">
        <w:t>.</w:t>
      </w:r>
      <w:r w:rsidR="008D0BA4">
        <w:t xml:space="preserve"> </w:t>
      </w:r>
    </w:p>
    <w:p w:rsidR="003F1DDB" w:rsidRPr="003665D6" w:rsidRDefault="00C618BE" w:rsidP="000D12E6">
      <w:pPr>
        <w:numPr>
          <w:ilvl w:val="0"/>
          <w:numId w:val="22"/>
        </w:numPr>
      </w:pPr>
      <w:r w:rsidRPr="003665D6">
        <w:t>Federal and provincial child benefits, which comprise 9.0%</w:t>
      </w:r>
      <w:r w:rsidR="00C912E9" w:rsidRPr="003665D6">
        <w:t xml:space="preserve"> of total income</w:t>
      </w:r>
      <w:r w:rsidRPr="003665D6">
        <w:t xml:space="preserve"> overall among working-age poor people with disabilities, comprise </w:t>
      </w:r>
      <w:r w:rsidR="000173EB">
        <w:t>comparatively high</w:t>
      </w:r>
      <w:r w:rsidRPr="003665D6">
        <w:t xml:space="preserve"> share</w:t>
      </w:r>
      <w:r w:rsidR="000173EB">
        <w:t>s</w:t>
      </w:r>
      <w:r w:rsidRPr="003665D6">
        <w:t xml:space="preserve"> of total income in New Brunswick (13.8%), Quebec (10.5%)</w:t>
      </w:r>
      <w:r w:rsidR="00C912E9" w:rsidRPr="003665D6">
        <w:t xml:space="preserve"> and</w:t>
      </w:r>
      <w:r w:rsidRPr="003665D6">
        <w:t xml:space="preserve"> Saskatchewan (10.4%)</w:t>
      </w:r>
      <w:r w:rsidR="00C912E9" w:rsidRPr="003665D6">
        <w:t xml:space="preserve">. These benefits </w:t>
      </w:r>
      <w:r w:rsidR="00941E53">
        <w:t>account for</w:t>
      </w:r>
      <w:r w:rsidR="00C912E9" w:rsidRPr="003665D6">
        <w:t xml:space="preserve"> notably lower shares in Newfoundland and Labrador (6.6%), Nova Scotia (5.2%), British Columbia (5.0%) and Alberta (4.3%).</w:t>
      </w:r>
    </w:p>
    <w:p w:rsidR="00C41ECD" w:rsidRPr="003665D6" w:rsidRDefault="00C41ECD" w:rsidP="000D12E6">
      <w:pPr>
        <w:numPr>
          <w:ilvl w:val="0"/>
          <w:numId w:val="22"/>
        </w:numPr>
      </w:pPr>
      <w:r w:rsidRPr="003665D6">
        <w:t>Income from the C/QPP comprises 8.9% of the income of working-age poor people with disabilities</w:t>
      </w:r>
      <w:r w:rsidR="00B7767A" w:rsidRPr="003665D6">
        <w:t xml:space="preserve"> </w:t>
      </w:r>
      <w:r w:rsidR="00C5603F" w:rsidRPr="003665D6">
        <w:t xml:space="preserve">overall </w:t>
      </w:r>
      <w:r w:rsidRPr="003665D6">
        <w:t xml:space="preserve">but a much higher share in </w:t>
      </w:r>
      <w:r w:rsidR="00370CB1" w:rsidRPr="003665D6">
        <w:t>Manitoba (19.7%), Nova Scotia (19.4%), New Brunswick (13.6%) and Newfoundland and Labrador (12.5%). The C/QPP account</w:t>
      </w:r>
      <w:r w:rsidR="00941E53">
        <w:t>s</w:t>
      </w:r>
      <w:r w:rsidR="00370CB1" w:rsidRPr="003665D6">
        <w:t xml:space="preserve"> for very little income </w:t>
      </w:r>
      <w:r w:rsidR="00B7767A" w:rsidRPr="003665D6">
        <w:t>among</w:t>
      </w:r>
      <w:r w:rsidR="00370CB1" w:rsidRPr="003665D6">
        <w:t xml:space="preserve"> </w:t>
      </w:r>
      <w:r w:rsidR="00B7767A" w:rsidRPr="003665D6">
        <w:t xml:space="preserve">working-age poor </w:t>
      </w:r>
      <w:r w:rsidR="00B7767A" w:rsidRPr="003665D6">
        <w:lastRenderedPageBreak/>
        <w:t>people with disabilities</w:t>
      </w:r>
      <w:r w:rsidR="00370CB1" w:rsidRPr="003665D6">
        <w:t xml:space="preserve"> in Saskatchewan (5.8%), British Columbia (4.6%) and Alberta (3.5%).</w:t>
      </w:r>
    </w:p>
    <w:p w:rsidR="00D743ED" w:rsidRPr="003665D6" w:rsidRDefault="00D743ED" w:rsidP="008D0BA4">
      <w:pPr>
        <w:numPr>
          <w:ilvl w:val="0"/>
          <w:numId w:val="22"/>
        </w:numPr>
      </w:pPr>
      <w:r w:rsidRPr="003665D6">
        <w:t>The OAS/GIS accounts for very little of the income of working-age poor people with disabilities overall (0.7%) but notably greater shares in Newfoundland and Labrador (3.5%) and New Brunswick (3.4%). T</w:t>
      </w:r>
      <w:r w:rsidR="009A0876" w:rsidRPr="003665D6">
        <w:t>he OAS/GIS accounts for 0.3% or less in Alberta, Ontario, Nova Scotia, Saskat</w:t>
      </w:r>
      <w:r w:rsidR="008D0BA4">
        <w:t>chewan and Manitoba and comprises 1.2% in British Columbia.</w:t>
      </w:r>
    </w:p>
    <w:p w:rsidR="003D066D" w:rsidRPr="003665D6" w:rsidRDefault="00BC2D93" w:rsidP="008D0BA4">
      <w:pPr>
        <w:numPr>
          <w:ilvl w:val="0"/>
          <w:numId w:val="22"/>
        </w:numPr>
      </w:pPr>
      <w:r w:rsidRPr="003665D6">
        <w:t xml:space="preserve">EI comprises little of the </w:t>
      </w:r>
      <w:r w:rsidR="008A7770">
        <w:t xml:space="preserve">total </w:t>
      </w:r>
      <w:r w:rsidRPr="003665D6">
        <w:t xml:space="preserve">income of working-age poor people with disabilities overall (3.7%) but comparatively high shares in British Columbia (7.1%) and Nova Scotia (6.1%). </w:t>
      </w:r>
      <w:r w:rsidR="003D066D" w:rsidRPr="003665D6">
        <w:t xml:space="preserve">It makes up a considerably lower than typical share in Alberta (2.8%), </w:t>
      </w:r>
      <w:r w:rsidR="00DA31EE" w:rsidRPr="003665D6">
        <w:t xml:space="preserve">Quebec (2.4%), </w:t>
      </w:r>
      <w:r w:rsidR="003D066D" w:rsidRPr="003665D6">
        <w:t xml:space="preserve">New Brunswick (1.2%), </w:t>
      </w:r>
      <w:r w:rsidR="00892550" w:rsidRPr="003665D6">
        <w:t xml:space="preserve">Newfoundland and Labrador (1.0%), </w:t>
      </w:r>
      <w:r w:rsidR="003D066D" w:rsidRPr="003665D6">
        <w:t xml:space="preserve">Saskatchewan (0.3%) and Manitoba (0.1%). </w:t>
      </w:r>
      <w:r w:rsidR="00D0777B" w:rsidRPr="003665D6">
        <w:t>A</w:t>
      </w:r>
      <w:r w:rsidR="003D066D" w:rsidRPr="003665D6">
        <w:t xml:space="preserve"> </w:t>
      </w:r>
      <w:r w:rsidR="00DB7737" w:rsidRPr="003665D6">
        <w:t xml:space="preserve">comparatively </w:t>
      </w:r>
      <w:r w:rsidR="003D066D" w:rsidRPr="003665D6">
        <w:t>high share of the</w:t>
      </w:r>
      <w:r w:rsidR="008000D7" w:rsidRPr="003665D6">
        <w:t xml:space="preserve"> </w:t>
      </w:r>
      <w:r w:rsidR="003D066D" w:rsidRPr="003665D6">
        <w:t xml:space="preserve">income </w:t>
      </w:r>
      <w:r w:rsidR="008000D7" w:rsidRPr="003665D6">
        <w:t xml:space="preserve">of working-age poor people with disabilities </w:t>
      </w:r>
      <w:r w:rsidR="003D066D" w:rsidRPr="003665D6">
        <w:t>is from employment</w:t>
      </w:r>
      <w:r w:rsidR="00DB7737" w:rsidRPr="003665D6">
        <w:t xml:space="preserve"> (wages and salaries and/or self-employment)</w:t>
      </w:r>
      <w:r w:rsidR="003D066D" w:rsidRPr="003665D6">
        <w:t xml:space="preserve"> in Alberta </w:t>
      </w:r>
      <w:r w:rsidR="00DB7737" w:rsidRPr="003665D6">
        <w:t xml:space="preserve">(53.7%) </w:t>
      </w:r>
      <w:r w:rsidR="003D066D" w:rsidRPr="003665D6">
        <w:t xml:space="preserve">and </w:t>
      </w:r>
      <w:r w:rsidR="00DB7737" w:rsidRPr="003665D6">
        <w:t>Manitoba (32.5%)</w:t>
      </w:r>
      <w:r w:rsidR="00D0777B" w:rsidRPr="003665D6">
        <w:t>, so</w:t>
      </w:r>
      <w:r w:rsidR="00DB7737" w:rsidRPr="003665D6">
        <w:t xml:space="preserve"> perhaps EI is not so widely needed</w:t>
      </w:r>
      <w:r w:rsidR="00D0777B" w:rsidRPr="003665D6">
        <w:t xml:space="preserve"> in those provinces</w:t>
      </w:r>
      <w:r w:rsidR="00DB7737" w:rsidRPr="003665D6">
        <w:t xml:space="preserve">. </w:t>
      </w:r>
      <w:r w:rsidR="00D0777B" w:rsidRPr="003665D6">
        <w:t>The share of employment income is</w:t>
      </w:r>
      <w:r w:rsidR="00C44AE5" w:rsidRPr="003665D6">
        <w:t xml:space="preserve"> very</w:t>
      </w:r>
      <w:r w:rsidR="00D0777B" w:rsidRPr="003665D6">
        <w:t xml:space="preserve"> low in</w:t>
      </w:r>
      <w:r w:rsidR="00DB7737" w:rsidRPr="003665D6">
        <w:t xml:space="preserve"> New Brunswick</w:t>
      </w:r>
      <w:r w:rsidR="00C44AE5" w:rsidRPr="003665D6">
        <w:t xml:space="preserve"> (13%)</w:t>
      </w:r>
      <w:r w:rsidR="00892550" w:rsidRPr="003665D6">
        <w:t xml:space="preserve">, Quebec (16%) and Newfoundland and Labrador (10.7%), </w:t>
      </w:r>
      <w:r w:rsidR="00DA31EE" w:rsidRPr="003665D6">
        <w:t>however</w:t>
      </w:r>
      <w:r w:rsidR="00C44AE5" w:rsidRPr="003665D6">
        <w:t>.</w:t>
      </w:r>
      <w:r w:rsidR="008000D7" w:rsidRPr="003665D6">
        <w:t xml:space="preserve"> In view of the low employment rates </w:t>
      </w:r>
      <w:r w:rsidR="00574600">
        <w:t xml:space="preserve">and low numbers of hours worked </w:t>
      </w:r>
      <w:r w:rsidR="008000D7" w:rsidRPr="003665D6">
        <w:t>among disabled poor people in those provinces (Table</w:t>
      </w:r>
      <w:r w:rsidR="00574600">
        <w:t>s</w:t>
      </w:r>
      <w:r w:rsidR="008000D7" w:rsidRPr="003665D6">
        <w:t xml:space="preserve"> </w:t>
      </w:r>
      <w:r w:rsidR="00147FA9">
        <w:t>4</w:t>
      </w:r>
      <w:r w:rsidR="00574600">
        <w:t xml:space="preserve"> and 5</w:t>
      </w:r>
      <w:r w:rsidR="00A640E3">
        <w:t>; Statistics Canada, 2008: Chart 6</w:t>
      </w:r>
      <w:r w:rsidR="008000D7" w:rsidRPr="003665D6">
        <w:t xml:space="preserve">), perhaps they have greater difficulties than elsewhere </w:t>
      </w:r>
      <w:r w:rsidR="000148C0" w:rsidRPr="003665D6">
        <w:t xml:space="preserve">meeting the requirements </w:t>
      </w:r>
      <w:r w:rsidR="000173EB">
        <w:t>of</w:t>
      </w:r>
      <w:r w:rsidR="000148C0" w:rsidRPr="003665D6">
        <w:t xml:space="preserve"> qualify</w:t>
      </w:r>
      <w:r w:rsidR="000173EB">
        <w:t>ing</w:t>
      </w:r>
      <w:r w:rsidR="000148C0" w:rsidRPr="003665D6">
        <w:t xml:space="preserve"> </w:t>
      </w:r>
      <w:r w:rsidR="008000D7" w:rsidRPr="003665D6">
        <w:t>for EI.</w:t>
      </w:r>
    </w:p>
    <w:p w:rsidR="00AA444F" w:rsidRDefault="007B7C31" w:rsidP="008D0BA4">
      <w:pPr>
        <w:numPr>
          <w:ilvl w:val="0"/>
          <w:numId w:val="23"/>
        </w:numPr>
      </w:pPr>
      <w:r>
        <w:t>Workers’ compensation</w:t>
      </w:r>
      <w:r w:rsidR="00BC2D93" w:rsidRPr="003665D6">
        <w:t xml:space="preserve"> </w:t>
      </w:r>
      <w:r>
        <w:t xml:space="preserve">benefits </w:t>
      </w:r>
      <w:r w:rsidR="00BC2D93" w:rsidRPr="003665D6">
        <w:t xml:space="preserve">comprise only 1.5% </w:t>
      </w:r>
      <w:r w:rsidR="000148C0" w:rsidRPr="003665D6">
        <w:t xml:space="preserve">of the </w:t>
      </w:r>
      <w:r w:rsidR="00BC2D93" w:rsidRPr="003665D6">
        <w:t>overall</w:t>
      </w:r>
      <w:r w:rsidR="000148C0" w:rsidRPr="003665D6">
        <w:t xml:space="preserve"> income of </w:t>
      </w:r>
      <w:r w:rsidR="001218CD" w:rsidRPr="003665D6">
        <w:t xml:space="preserve">working-age </w:t>
      </w:r>
      <w:r w:rsidR="000148C0" w:rsidRPr="003665D6">
        <w:t>disabled poor people</w:t>
      </w:r>
      <w:r w:rsidR="00BC2D93" w:rsidRPr="003665D6">
        <w:t xml:space="preserve"> but 3.8% in Quebec</w:t>
      </w:r>
      <w:r w:rsidR="001218CD" w:rsidRPr="003665D6">
        <w:t>.</w:t>
      </w:r>
      <w:r w:rsidR="00EA7E52" w:rsidRPr="003665D6">
        <w:t xml:space="preserve"> </w:t>
      </w:r>
    </w:p>
    <w:p w:rsidR="008D0BA4" w:rsidRDefault="008D0BA4" w:rsidP="008D0BA4">
      <w:pPr>
        <w:numPr>
          <w:ilvl w:val="0"/>
          <w:numId w:val="23"/>
        </w:numPr>
      </w:pPr>
      <w:r w:rsidRPr="003665D6">
        <w:t>Nationally, social assistance comprises 35.3% of the income of working-age poor people with disabilities. It comprises a much higher share in Newfoundland and Labrador (58.2%), Saskatchewan (50.3%), New Brunswick (44.4%) and somewhat higher shares in Nova Scotia (39.6%) and Quebec (39.1%). Social assistance comprises notably l</w:t>
      </w:r>
      <w:r w:rsidR="000173EB">
        <w:t>ess</w:t>
      </w:r>
      <w:r w:rsidRPr="003665D6">
        <w:t xml:space="preserve"> than the national average share in Alberta (28.2%) and Manitoba (24.8%).</w:t>
      </w:r>
    </w:p>
    <w:p w:rsidR="00B1143C" w:rsidRPr="003665D6" w:rsidRDefault="00B1143C" w:rsidP="008D0BA4">
      <w:pPr>
        <w:numPr>
          <w:ilvl w:val="0"/>
          <w:numId w:val="23"/>
        </w:numPr>
      </w:pPr>
      <w:r>
        <w:t>The Working Income Tax Benefit makes up only 1.0% of the income of working-age poor people with disabilities and very little in any province.</w:t>
      </w:r>
    </w:p>
    <w:p w:rsidR="002E3AF2" w:rsidRDefault="00A75CEA" w:rsidP="00C82EC7">
      <w:pPr>
        <w:pStyle w:val="Heading3"/>
      </w:pPr>
      <w:bookmarkStart w:id="43" w:name="_Toc354137020"/>
      <w:bookmarkStart w:id="44" w:name="_Toc354137375"/>
      <w:bookmarkStart w:id="45" w:name="_Toc361342900"/>
      <w:r>
        <w:t>... Poor People</w:t>
      </w:r>
      <w:r w:rsidR="003F646F">
        <w:t xml:space="preserve"> </w:t>
      </w:r>
      <w:r w:rsidR="00A75ECC">
        <w:t>w</w:t>
      </w:r>
      <w:r w:rsidR="002E3AF2">
        <w:t>ithout Disabilities</w:t>
      </w:r>
      <w:bookmarkEnd w:id="43"/>
      <w:bookmarkEnd w:id="44"/>
      <w:bookmarkEnd w:id="45"/>
    </w:p>
    <w:p w:rsidR="000A59B9" w:rsidRPr="003665D6" w:rsidRDefault="000A59B9" w:rsidP="002E3AF2">
      <w:r w:rsidRPr="003665D6">
        <w:t>The following discussion</w:t>
      </w:r>
      <w:r w:rsidR="00E848D1" w:rsidRPr="003665D6">
        <w:t xml:space="preserve"> </w:t>
      </w:r>
      <w:r w:rsidRPr="003665D6">
        <w:t xml:space="preserve">is based on Appendix Table </w:t>
      </w:r>
      <w:r w:rsidR="00F72C0A" w:rsidRPr="003665D6">
        <w:t>A1</w:t>
      </w:r>
      <w:r w:rsidRPr="003665D6">
        <w:t>b.</w:t>
      </w:r>
    </w:p>
    <w:p w:rsidR="003B457B" w:rsidRPr="003665D6" w:rsidRDefault="000A59B9" w:rsidP="006124AD">
      <w:pPr>
        <w:numPr>
          <w:ilvl w:val="0"/>
          <w:numId w:val="9"/>
        </w:numPr>
      </w:pPr>
      <w:r w:rsidRPr="003665D6">
        <w:t xml:space="preserve">The national average income for poor people without disabilities is $11,940. </w:t>
      </w:r>
      <w:r w:rsidR="002E3AF2" w:rsidRPr="003665D6">
        <w:t xml:space="preserve">As with </w:t>
      </w:r>
      <w:r w:rsidRPr="003665D6">
        <w:t>their counterparts with disabil</w:t>
      </w:r>
      <w:r w:rsidR="002E3AF2" w:rsidRPr="003665D6">
        <w:t xml:space="preserve">ities, total incomes are </w:t>
      </w:r>
      <w:r w:rsidR="00E63993" w:rsidRPr="003665D6">
        <w:t>comparatively hi</w:t>
      </w:r>
      <w:r w:rsidR="002E3AF2" w:rsidRPr="003665D6">
        <w:t xml:space="preserve">gh in </w:t>
      </w:r>
      <w:r w:rsidR="002E3AF2" w:rsidRPr="003665D6">
        <w:lastRenderedPageBreak/>
        <w:t>Alberta ($17,220) and Manitoba (</w:t>
      </w:r>
      <w:r w:rsidRPr="003665D6">
        <w:t>$12,059) and lowest in New Brunswick ($8,820).</w:t>
      </w:r>
      <w:r w:rsidR="00E63993" w:rsidRPr="003665D6">
        <w:t xml:space="preserve"> </w:t>
      </w:r>
      <w:r w:rsidR="00900301" w:rsidRPr="003665D6">
        <w:t>Overall t</w:t>
      </w:r>
      <w:r w:rsidR="00E63993" w:rsidRPr="003665D6">
        <w:t xml:space="preserve">heir incomes are </w:t>
      </w:r>
      <w:r w:rsidR="00900301" w:rsidRPr="003665D6">
        <w:t xml:space="preserve">1.2 times </w:t>
      </w:r>
      <w:r w:rsidR="00E63993" w:rsidRPr="003665D6">
        <w:t xml:space="preserve">higher </w:t>
      </w:r>
      <w:r w:rsidR="00F42A06" w:rsidRPr="003665D6">
        <w:t>than the incomes of their counterparts with disabilities</w:t>
      </w:r>
      <w:r w:rsidR="00900301" w:rsidRPr="003665D6">
        <w:t>, and their incomes are higher</w:t>
      </w:r>
      <w:r w:rsidR="00F42A06" w:rsidRPr="003665D6">
        <w:t xml:space="preserve"> </w:t>
      </w:r>
      <w:r w:rsidR="00E63993" w:rsidRPr="003665D6">
        <w:t xml:space="preserve">in </w:t>
      </w:r>
      <w:r w:rsidR="003B457B" w:rsidRPr="003665D6">
        <w:t>all provinces</w:t>
      </w:r>
      <w:r w:rsidR="00900301" w:rsidRPr="003665D6">
        <w:t>. T</w:t>
      </w:r>
      <w:r w:rsidR="003B457B" w:rsidRPr="003665D6">
        <w:t xml:space="preserve">he income gap is particularly wide </w:t>
      </w:r>
      <w:r w:rsidR="00900301" w:rsidRPr="003665D6">
        <w:t>in Alberta, where the income of non-disabled poor people is 1.5 times higher than that of their counterparts with disabilities ($17,220 vs. $11,482).</w:t>
      </w:r>
    </w:p>
    <w:p w:rsidR="0093747E" w:rsidRPr="003665D6" w:rsidRDefault="0093747E" w:rsidP="006124AD">
      <w:pPr>
        <w:numPr>
          <w:ilvl w:val="0"/>
          <w:numId w:val="9"/>
        </w:numPr>
      </w:pPr>
      <w:r w:rsidRPr="003665D6">
        <w:t xml:space="preserve">Unlike their counterparts with disabilities, nearly three-quarters </w:t>
      </w:r>
      <w:r w:rsidR="00355583" w:rsidRPr="003665D6">
        <w:t xml:space="preserve">(71.4%) </w:t>
      </w:r>
      <w:r w:rsidRPr="003665D6">
        <w:t>of the income</w:t>
      </w:r>
      <w:r w:rsidR="00355583" w:rsidRPr="003665D6">
        <w:t xml:space="preserve"> of </w:t>
      </w:r>
      <w:r w:rsidR="00E848D1" w:rsidRPr="003665D6">
        <w:t>poor</w:t>
      </w:r>
      <w:r w:rsidR="00355583" w:rsidRPr="003665D6">
        <w:t xml:space="preserve"> people without disabilities</w:t>
      </w:r>
      <w:r w:rsidRPr="003665D6">
        <w:t xml:space="preserve"> is </w:t>
      </w:r>
      <w:r w:rsidR="00355583" w:rsidRPr="003665D6">
        <w:t>market income – mostly from wages and salaries (59.9%) and self-employment (5.1%); only 28.6% is from government transfers.</w:t>
      </w:r>
    </w:p>
    <w:p w:rsidR="00AA6BED" w:rsidRPr="003665D6" w:rsidRDefault="00AA6BED" w:rsidP="00AA6BED">
      <w:pPr>
        <w:numPr>
          <w:ilvl w:val="0"/>
          <w:numId w:val="9"/>
        </w:numPr>
      </w:pPr>
      <w:r w:rsidRPr="003665D6">
        <w:t xml:space="preserve">Transfer income makes up a much larger than </w:t>
      </w:r>
      <w:r w:rsidR="005253F3" w:rsidRPr="003665D6">
        <w:t xml:space="preserve">the </w:t>
      </w:r>
      <w:r w:rsidRPr="003665D6">
        <w:t xml:space="preserve">typical share of </w:t>
      </w:r>
      <w:r w:rsidR="00A85C4C">
        <w:t>total</w:t>
      </w:r>
      <w:r w:rsidRPr="003665D6">
        <w:t xml:space="preserve"> income for working-age poor people without disabilities </w:t>
      </w:r>
      <w:r w:rsidR="000173EB">
        <w:t>(</w:t>
      </w:r>
      <w:r w:rsidR="000173EB" w:rsidRPr="003665D6">
        <w:t>28.6%</w:t>
      </w:r>
      <w:r w:rsidR="000173EB">
        <w:t xml:space="preserve">) </w:t>
      </w:r>
      <w:r w:rsidRPr="003665D6">
        <w:t>in Newfoundland and Labrador (64.7%) and Saskatchewan (</w:t>
      </w:r>
      <w:r w:rsidR="005253F3" w:rsidRPr="003665D6">
        <w:t>42.4%), and a notably larger share in New Brunswick (38.5%) and Quebec (38%) as well.</w:t>
      </w:r>
    </w:p>
    <w:p w:rsidR="00AA6BED" w:rsidRDefault="00AA6BED" w:rsidP="006124AD">
      <w:pPr>
        <w:numPr>
          <w:ilvl w:val="0"/>
          <w:numId w:val="9"/>
        </w:numPr>
      </w:pPr>
      <w:r w:rsidRPr="003665D6">
        <w:t>The largest shares of total income from transfers for working-age poor people without disabilities are from child benefits (9.8%), social assistance (6.3%) and EI (4.4%).</w:t>
      </w:r>
    </w:p>
    <w:p w:rsidR="006F1BCC" w:rsidRPr="003665D6" w:rsidRDefault="006F1BCC" w:rsidP="006F1BCC">
      <w:pPr>
        <w:numPr>
          <w:ilvl w:val="0"/>
          <w:numId w:val="9"/>
        </w:numPr>
      </w:pPr>
      <w:r w:rsidRPr="003665D6">
        <w:t>Wages and salaries make up considerably more than the typical share of income (59.9%) among working-age poor people without disabilities in Alberta (79.0%), British Columbia (66%) and Nova Scotia (65%). It makes up only a third of income in Newfoundland and Labrador (33.3%).</w:t>
      </w:r>
    </w:p>
    <w:p w:rsidR="006F1BCC" w:rsidRPr="003665D6" w:rsidRDefault="006F1BCC" w:rsidP="006F1BCC">
      <w:pPr>
        <w:numPr>
          <w:ilvl w:val="0"/>
          <w:numId w:val="9"/>
        </w:numPr>
      </w:pPr>
      <w:r w:rsidRPr="003665D6">
        <w:t>Money from investments makes up relatively little of the income of working-age poor people without disabilities (3.5% overall) but notabl</w:t>
      </w:r>
      <w:r w:rsidR="00A640E3">
        <w:t>y higher</w:t>
      </w:r>
      <w:r w:rsidRPr="003665D6">
        <w:t xml:space="preserve"> shares in Ontario (5.3%) and British Columbia (4.6%). It accounts for less than one percent in Atlantic Canada and Saskatchewan.</w:t>
      </w:r>
    </w:p>
    <w:p w:rsidR="007C3B00" w:rsidRPr="003665D6" w:rsidRDefault="007C3B00" w:rsidP="006124AD">
      <w:pPr>
        <w:numPr>
          <w:ilvl w:val="0"/>
          <w:numId w:val="9"/>
        </w:numPr>
      </w:pPr>
      <w:r w:rsidRPr="003665D6">
        <w:t>Compared with the national average (9.8%), federal and provincial child benefits make up a considerably higher share of the income of working-age low income people without disabilities in Saskatchewan (18.1%) and Newfoundland and Labrador (15.9%).</w:t>
      </w:r>
      <w:r w:rsidR="007A5739" w:rsidRPr="003665D6">
        <w:t xml:space="preserve"> At 11.6% that share is also high in Nova Scotia.</w:t>
      </w:r>
    </w:p>
    <w:p w:rsidR="002A4969" w:rsidRPr="003665D6" w:rsidRDefault="002A4969" w:rsidP="002A4969">
      <w:pPr>
        <w:numPr>
          <w:ilvl w:val="0"/>
          <w:numId w:val="9"/>
        </w:numPr>
      </w:pPr>
      <w:r w:rsidRPr="003665D6">
        <w:t xml:space="preserve">Compared with </w:t>
      </w:r>
      <w:r w:rsidR="00AA6BED" w:rsidRPr="003665D6">
        <w:t xml:space="preserve">only </w:t>
      </w:r>
      <w:r w:rsidRPr="003665D6">
        <w:t xml:space="preserve">1.3% overall, </w:t>
      </w:r>
      <w:r w:rsidR="00A640E3">
        <w:t xml:space="preserve">the </w:t>
      </w:r>
      <w:r w:rsidRPr="003665D6">
        <w:t>C/QPP makes up a notably large share of the income of working-age poor people without disabilities a</w:t>
      </w:r>
      <w:r w:rsidR="006124AD" w:rsidRPr="003665D6">
        <w:t>t 4.7% in New Brunswick and 4.6% in Newfoundland and Labrador</w:t>
      </w:r>
      <w:r w:rsidRPr="003665D6">
        <w:t>.</w:t>
      </w:r>
    </w:p>
    <w:p w:rsidR="00636EF3" w:rsidRPr="003665D6" w:rsidRDefault="002A4969" w:rsidP="00AA6BED">
      <w:pPr>
        <w:numPr>
          <w:ilvl w:val="0"/>
          <w:numId w:val="9"/>
        </w:numPr>
      </w:pPr>
      <w:r w:rsidRPr="003665D6">
        <w:t>EI makes up a relatively large share of the income of working-age poor people without disabilities</w:t>
      </w:r>
      <w:r w:rsidR="00636EF3" w:rsidRPr="003665D6">
        <w:t xml:space="preserve"> in New Brunswick (7.3%) and Quebec (6.2%) compared with </w:t>
      </w:r>
      <w:r w:rsidR="00636EF3" w:rsidRPr="003665D6">
        <w:lastRenderedPageBreak/>
        <w:t xml:space="preserve">4.4% overall. It makes up a notably lower </w:t>
      </w:r>
      <w:r w:rsidR="002370A7" w:rsidRPr="003665D6">
        <w:t xml:space="preserve">than </w:t>
      </w:r>
      <w:r w:rsidR="00CB77EF" w:rsidRPr="003665D6">
        <w:t>typical</w:t>
      </w:r>
      <w:r w:rsidR="002370A7" w:rsidRPr="003665D6">
        <w:t xml:space="preserve"> </w:t>
      </w:r>
      <w:r w:rsidR="00636EF3" w:rsidRPr="003665D6">
        <w:t xml:space="preserve">share in </w:t>
      </w:r>
      <w:r w:rsidR="00CB77EF" w:rsidRPr="003665D6">
        <w:t xml:space="preserve">Nova Scotia (3.2%), </w:t>
      </w:r>
      <w:r w:rsidR="00636EF3" w:rsidRPr="003665D6">
        <w:t>Alberta (2.8%)</w:t>
      </w:r>
      <w:r w:rsidR="002370A7" w:rsidRPr="003665D6">
        <w:t>,</w:t>
      </w:r>
      <w:r w:rsidR="00636EF3" w:rsidRPr="003665D6">
        <w:t xml:space="preserve"> Saskatchewan (2.2%)</w:t>
      </w:r>
      <w:r w:rsidR="002370A7" w:rsidRPr="003665D6">
        <w:t xml:space="preserve"> and Newfoundland and Labrador (1.3%)</w:t>
      </w:r>
      <w:r w:rsidR="00636EF3" w:rsidRPr="003665D6">
        <w:t>.</w:t>
      </w:r>
    </w:p>
    <w:p w:rsidR="0088757E" w:rsidRDefault="007B7C31" w:rsidP="00AA6BED">
      <w:pPr>
        <w:numPr>
          <w:ilvl w:val="0"/>
          <w:numId w:val="9"/>
        </w:numPr>
      </w:pPr>
      <w:r>
        <w:t>Workers’ compensation</w:t>
      </w:r>
      <w:r w:rsidR="0088757E" w:rsidRPr="003665D6">
        <w:t xml:space="preserve"> </w:t>
      </w:r>
      <w:r w:rsidR="002F5DDE">
        <w:t xml:space="preserve">benefits </w:t>
      </w:r>
      <w:r w:rsidR="003F3475">
        <w:t>accounts for</w:t>
      </w:r>
      <w:r w:rsidR="0088757E" w:rsidRPr="003665D6">
        <w:t xml:space="preserve"> 0.4% of the income of working-age poor people without disabilities overall but 1.6% in Nova Scotia.</w:t>
      </w:r>
    </w:p>
    <w:p w:rsidR="006F1BCC" w:rsidRDefault="006F1BCC" w:rsidP="006F1BCC">
      <w:pPr>
        <w:numPr>
          <w:ilvl w:val="0"/>
          <w:numId w:val="9"/>
        </w:numPr>
      </w:pPr>
      <w:r w:rsidRPr="003665D6">
        <w:t>Social assistance makes up a much larger share of the income of working-age poor people without disabilities in Newfoundland and Labrador (35.7%), New Brunswick (11.4%) and Quebec (11.1%) compared with 6.3% overall. It makes up relatively little of their total income in British Columbia (3.1%</w:t>
      </w:r>
      <w:r w:rsidR="00A640E3">
        <w:t>)</w:t>
      </w:r>
      <w:r w:rsidRPr="003665D6">
        <w:t xml:space="preserve"> and Alberta (1.2%).</w:t>
      </w:r>
    </w:p>
    <w:p w:rsidR="006F1BCC" w:rsidRPr="003665D6" w:rsidRDefault="006F1BCC" w:rsidP="006F1BCC">
      <w:pPr>
        <w:numPr>
          <w:ilvl w:val="0"/>
          <w:numId w:val="9"/>
        </w:numPr>
      </w:pPr>
      <w:r>
        <w:t>The Working Income Tax Benefit makes up 1.5% of the income of working-age poor people without disabilities</w:t>
      </w:r>
      <w:r w:rsidR="00A64B84">
        <w:t xml:space="preserve"> overall, ranging from a high of 2.0% in Saskatchewan to a low of 0.9% in British Columbia.</w:t>
      </w:r>
    </w:p>
    <w:p w:rsidR="00D07F52" w:rsidRDefault="00D07F52" w:rsidP="00D07F52">
      <w:pPr>
        <w:pStyle w:val="Heading3"/>
      </w:pPr>
      <w:bookmarkStart w:id="46" w:name="_Toc361342901"/>
      <w:r>
        <w:t>… Some Things in Common</w:t>
      </w:r>
      <w:bookmarkEnd w:id="46"/>
    </w:p>
    <w:p w:rsidR="00D07F52" w:rsidRPr="003665D6" w:rsidRDefault="00D07F52" w:rsidP="00D07F52">
      <w:r w:rsidRPr="003665D6">
        <w:t xml:space="preserve">Based on Appendix Tables </w:t>
      </w:r>
      <w:r w:rsidR="00F72C0A" w:rsidRPr="003665D6">
        <w:t>A1</w:t>
      </w:r>
      <w:r w:rsidRPr="003665D6">
        <w:t xml:space="preserve">a and </w:t>
      </w:r>
      <w:r w:rsidR="00F72C0A" w:rsidRPr="003665D6">
        <w:t>A1</w:t>
      </w:r>
      <w:r w:rsidRPr="003665D6">
        <w:t>b and looking at national averages for working-age poor people with and without disabilities, several general patterns can be observed in common.</w:t>
      </w:r>
    </w:p>
    <w:p w:rsidR="00D07F52" w:rsidRPr="003665D6" w:rsidRDefault="00D07F52" w:rsidP="00D07F52">
      <w:r w:rsidRPr="003665D6">
        <w:t xml:space="preserve">A notably </w:t>
      </w:r>
      <w:r w:rsidRPr="006C4278">
        <w:rPr>
          <w:i/>
        </w:rPr>
        <w:t>higher</w:t>
      </w:r>
      <w:r w:rsidRPr="003665D6">
        <w:t xml:space="preserve"> than typical share of the total income </w:t>
      </w:r>
      <w:r w:rsidR="003F3475">
        <w:t xml:space="preserve">of people with and without disabilities </w:t>
      </w:r>
      <w:r w:rsidRPr="003665D6">
        <w:t>is from:</w:t>
      </w:r>
    </w:p>
    <w:p w:rsidR="00D07F52" w:rsidRPr="003665D6" w:rsidRDefault="00D07F52" w:rsidP="00D07F52">
      <w:pPr>
        <w:numPr>
          <w:ilvl w:val="0"/>
          <w:numId w:val="10"/>
        </w:numPr>
      </w:pPr>
      <w:r w:rsidRPr="003665D6">
        <w:t>Self-employment in Ontario;</w:t>
      </w:r>
    </w:p>
    <w:p w:rsidR="00D07F52" w:rsidRPr="003665D6" w:rsidRDefault="00D07F52" w:rsidP="00D07F52">
      <w:pPr>
        <w:numPr>
          <w:ilvl w:val="0"/>
          <w:numId w:val="10"/>
        </w:numPr>
      </w:pPr>
      <w:r w:rsidRPr="003665D6">
        <w:t>Wages and salaries in Alberta;</w:t>
      </w:r>
    </w:p>
    <w:p w:rsidR="00D07F52" w:rsidRPr="003665D6" w:rsidRDefault="00D07F52" w:rsidP="00D07F52">
      <w:pPr>
        <w:numPr>
          <w:ilvl w:val="0"/>
          <w:numId w:val="10"/>
        </w:numPr>
      </w:pPr>
      <w:r w:rsidRPr="003665D6">
        <w:t>Child benefits in Saskatchewan;</w:t>
      </w:r>
    </w:p>
    <w:p w:rsidR="00D07F52" w:rsidRPr="003665D6" w:rsidRDefault="00D07F52" w:rsidP="00D07F52">
      <w:pPr>
        <w:numPr>
          <w:ilvl w:val="0"/>
          <w:numId w:val="10"/>
        </w:numPr>
      </w:pPr>
      <w:r w:rsidRPr="003665D6">
        <w:t>The C/QPP most notably in New Brunswick, Newfoundland and Labrador and Nova Scotia;</w:t>
      </w:r>
    </w:p>
    <w:p w:rsidR="00D07F52" w:rsidRPr="003665D6" w:rsidRDefault="00D07F52" w:rsidP="00D07F52">
      <w:pPr>
        <w:numPr>
          <w:ilvl w:val="0"/>
          <w:numId w:val="10"/>
        </w:numPr>
      </w:pPr>
      <w:r w:rsidRPr="003665D6">
        <w:t>Social assistance, most notably in Newfoundland and Labrador, New Brunswick, Quebec and Saskatchewan.</w:t>
      </w:r>
    </w:p>
    <w:p w:rsidR="00D07F52" w:rsidRPr="003665D6" w:rsidRDefault="00D07F52" w:rsidP="00D07F52">
      <w:r w:rsidRPr="003665D6">
        <w:t xml:space="preserve">A notably </w:t>
      </w:r>
      <w:r w:rsidRPr="006C4278">
        <w:rPr>
          <w:i/>
        </w:rPr>
        <w:t>lower</w:t>
      </w:r>
      <w:r w:rsidRPr="003665D6">
        <w:t xml:space="preserve"> than typical share of the total income</w:t>
      </w:r>
      <w:r w:rsidR="003F3475">
        <w:t xml:space="preserve"> of people with and without disabilities</w:t>
      </w:r>
      <w:r w:rsidRPr="003665D6">
        <w:t xml:space="preserve"> is from:</w:t>
      </w:r>
    </w:p>
    <w:p w:rsidR="00D07F52" w:rsidRPr="003665D6" w:rsidRDefault="00D07F52" w:rsidP="00D07F52">
      <w:pPr>
        <w:numPr>
          <w:ilvl w:val="0"/>
          <w:numId w:val="19"/>
        </w:numPr>
      </w:pPr>
      <w:r w:rsidRPr="003665D6">
        <w:t>Self-employment in the Atlantic provinces;</w:t>
      </w:r>
    </w:p>
    <w:p w:rsidR="00D07F52" w:rsidRPr="003665D6" w:rsidRDefault="00D07F52" w:rsidP="00D07F52">
      <w:pPr>
        <w:numPr>
          <w:ilvl w:val="0"/>
          <w:numId w:val="11"/>
        </w:numPr>
      </w:pPr>
      <w:r w:rsidRPr="003665D6">
        <w:t>Wages and salaries in Newfoundland and Labrador, New Brunswick and Quebec;</w:t>
      </w:r>
    </w:p>
    <w:p w:rsidR="00D07F52" w:rsidRPr="003665D6" w:rsidRDefault="00D07F52" w:rsidP="00D07F52">
      <w:pPr>
        <w:numPr>
          <w:ilvl w:val="0"/>
          <w:numId w:val="11"/>
        </w:numPr>
      </w:pPr>
      <w:r w:rsidRPr="003665D6">
        <w:lastRenderedPageBreak/>
        <w:t>Private pensions in Nova Scotia</w:t>
      </w:r>
      <w:r w:rsidR="00D64632">
        <w:t>,</w:t>
      </w:r>
      <w:r w:rsidRPr="003665D6">
        <w:t xml:space="preserve"> New Brunswick and west of Ontario.</w:t>
      </w:r>
    </w:p>
    <w:p w:rsidR="00D07F52" w:rsidRPr="003665D6" w:rsidRDefault="00D07F52" w:rsidP="00D07F52">
      <w:pPr>
        <w:numPr>
          <w:ilvl w:val="0"/>
          <w:numId w:val="11"/>
        </w:numPr>
      </w:pPr>
      <w:r w:rsidRPr="003665D6">
        <w:t xml:space="preserve">Investments in the Atlantic provinces, Manitoba and Alberta; </w:t>
      </w:r>
    </w:p>
    <w:p w:rsidR="00D07F52" w:rsidRPr="003665D6" w:rsidRDefault="00D07F52" w:rsidP="00D07F52">
      <w:pPr>
        <w:numPr>
          <w:ilvl w:val="0"/>
          <w:numId w:val="11"/>
        </w:numPr>
      </w:pPr>
      <w:r w:rsidRPr="003665D6">
        <w:t>The C/QPP in Alberta and British Columbia;</w:t>
      </w:r>
    </w:p>
    <w:p w:rsidR="00D07F52" w:rsidRPr="003665D6" w:rsidRDefault="00D07F52" w:rsidP="00D07F52">
      <w:pPr>
        <w:numPr>
          <w:ilvl w:val="0"/>
          <w:numId w:val="11"/>
        </w:numPr>
      </w:pPr>
      <w:r w:rsidRPr="003665D6">
        <w:t xml:space="preserve">EI in Alberta, Saskatchewan and Newfoundland and Labrador; </w:t>
      </w:r>
    </w:p>
    <w:p w:rsidR="00D07F52" w:rsidRPr="003665D6" w:rsidRDefault="007B7C31" w:rsidP="00D07F52">
      <w:pPr>
        <w:numPr>
          <w:ilvl w:val="0"/>
          <w:numId w:val="11"/>
        </w:numPr>
      </w:pPr>
      <w:r>
        <w:t>Workers’ compensation</w:t>
      </w:r>
      <w:r w:rsidR="00D07F52" w:rsidRPr="003665D6">
        <w:t xml:space="preserve"> </w:t>
      </w:r>
      <w:r w:rsidR="002F5DDE">
        <w:t xml:space="preserve">benefits </w:t>
      </w:r>
      <w:r w:rsidR="00D07F52" w:rsidRPr="003665D6">
        <w:t>in Alberta, Manitoba, and Newfoundland and Labrador; and</w:t>
      </w:r>
    </w:p>
    <w:p w:rsidR="00D07F52" w:rsidRPr="003665D6" w:rsidRDefault="00D07F52" w:rsidP="00D07F52">
      <w:pPr>
        <w:numPr>
          <w:ilvl w:val="0"/>
          <w:numId w:val="11"/>
        </w:numPr>
      </w:pPr>
      <w:r w:rsidRPr="003665D6">
        <w:t>Social assistance in Alberta.</w:t>
      </w:r>
    </w:p>
    <w:p w:rsidR="00630796" w:rsidRDefault="00630796" w:rsidP="00630796">
      <w:pPr>
        <w:pStyle w:val="Heading3"/>
      </w:pPr>
      <w:bookmarkStart w:id="47" w:name="_Toc361342902"/>
      <w:r>
        <w:t>… Some Ways People with Disabilities Stand Out</w:t>
      </w:r>
      <w:bookmarkEnd w:id="47"/>
    </w:p>
    <w:p w:rsidR="00630796" w:rsidRPr="003665D6" w:rsidRDefault="00630796" w:rsidP="00630796">
      <w:r w:rsidRPr="003665D6">
        <w:t xml:space="preserve">Based on Appendix Tables </w:t>
      </w:r>
      <w:r w:rsidR="00F72C0A" w:rsidRPr="003665D6">
        <w:t>A1</w:t>
      </w:r>
      <w:r w:rsidRPr="003665D6">
        <w:t>a</w:t>
      </w:r>
      <w:r w:rsidR="003F6133">
        <w:t xml:space="preserve"> and A1</w:t>
      </w:r>
      <w:r w:rsidRPr="003665D6">
        <w:t>b, the makeup of the total income of working-age poor people with disabilities is most notably different than that of their non-disabled counterparts across the provinces in the following ways:</w:t>
      </w:r>
    </w:p>
    <w:p w:rsidR="00630796" w:rsidRPr="003665D6" w:rsidRDefault="00630796" w:rsidP="005A5ECF">
      <w:pPr>
        <w:numPr>
          <w:ilvl w:val="0"/>
          <w:numId w:val="20"/>
        </w:numPr>
      </w:pPr>
      <w:r w:rsidRPr="003665D6">
        <w:t xml:space="preserve">Compared with 2.5% overall for working-age poor people with disabilities, a relatively high proportion of income </w:t>
      </w:r>
      <w:r w:rsidR="004A3636" w:rsidRPr="003665D6">
        <w:t xml:space="preserve">(4.0%) </w:t>
      </w:r>
      <w:r w:rsidRPr="003665D6">
        <w:t>is from self-employment in Alberta</w:t>
      </w:r>
      <w:r w:rsidR="003C17C3" w:rsidRPr="003665D6">
        <w:t>;</w:t>
      </w:r>
    </w:p>
    <w:p w:rsidR="004A3636" w:rsidRPr="003665D6" w:rsidRDefault="00186CBB" w:rsidP="005A5ECF">
      <w:pPr>
        <w:numPr>
          <w:ilvl w:val="0"/>
          <w:numId w:val="20"/>
        </w:numPr>
      </w:pPr>
      <w:r>
        <w:t>Alberta accounts for the highest share of income from wages and salaries</w:t>
      </w:r>
      <w:r w:rsidR="00FA0386">
        <w:t xml:space="preserve"> among </w:t>
      </w:r>
      <w:r>
        <w:t>poor people with and without disabilities (</w:t>
      </w:r>
      <w:r w:rsidR="00246CDE">
        <w:t xml:space="preserve">47.7% and </w:t>
      </w:r>
      <w:r w:rsidR="00567E2E">
        <w:t>79</w:t>
      </w:r>
      <w:r w:rsidR="00D4433D">
        <w:t>.0</w:t>
      </w:r>
      <w:r w:rsidR="00567E2E">
        <w:t>%</w:t>
      </w:r>
      <w:r w:rsidR="00246CDE">
        <w:t>, respectively</w:t>
      </w:r>
      <w:r w:rsidR="00567E2E">
        <w:t xml:space="preserve">). The next-highest share of total </w:t>
      </w:r>
      <w:r w:rsidR="00567E2E" w:rsidRPr="003665D6">
        <w:t>income from wages and salaries</w:t>
      </w:r>
      <w:r w:rsidR="00567E2E">
        <w:t xml:space="preserve"> among</w:t>
      </w:r>
      <w:r w:rsidR="00567E2E" w:rsidRPr="003665D6">
        <w:t xml:space="preserve"> disabled poor people with disabilities</w:t>
      </w:r>
      <w:r w:rsidR="00567E2E">
        <w:t xml:space="preserve"> is found</w:t>
      </w:r>
      <w:r w:rsidR="00567E2E" w:rsidRPr="003665D6">
        <w:t xml:space="preserve"> in Manitoba</w:t>
      </w:r>
      <w:r w:rsidR="00D4433D">
        <w:t xml:space="preserve"> at 28.7% whereas</w:t>
      </w:r>
      <w:r w:rsidR="00246CDE">
        <w:t xml:space="preserve"> t</w:t>
      </w:r>
      <w:r w:rsidR="00567E2E">
        <w:t>he next-highest share for poor people without disabilities is found in British Columbia at 66%</w:t>
      </w:r>
      <w:r w:rsidR="004A3636" w:rsidRPr="003665D6">
        <w:t>;</w:t>
      </w:r>
    </w:p>
    <w:p w:rsidR="005A5ECF" w:rsidRPr="003665D6" w:rsidRDefault="005A5ECF" w:rsidP="005A5ECF">
      <w:pPr>
        <w:numPr>
          <w:ilvl w:val="0"/>
          <w:numId w:val="20"/>
        </w:numPr>
      </w:pPr>
      <w:r w:rsidRPr="003665D6">
        <w:t>Private pension income makes up a higher than typical share of income in Quebec at 4.2% compared with 1.2% overall for working-age poor people with disabilities;</w:t>
      </w:r>
    </w:p>
    <w:p w:rsidR="005A5ECF" w:rsidRPr="003665D6" w:rsidRDefault="005A5ECF" w:rsidP="005A5ECF">
      <w:pPr>
        <w:numPr>
          <w:ilvl w:val="0"/>
          <w:numId w:val="20"/>
        </w:numPr>
      </w:pPr>
      <w:r w:rsidRPr="003665D6">
        <w:t>Compared with 2.2% overall</w:t>
      </w:r>
      <w:r w:rsidR="005A0C99" w:rsidRPr="003665D6">
        <w:t xml:space="preserve"> among working-age poor people with disabilities</w:t>
      </w:r>
      <w:r w:rsidRPr="003665D6">
        <w:t>, investment</w:t>
      </w:r>
      <w:r w:rsidR="005A0C99" w:rsidRPr="003665D6">
        <w:t>s</w:t>
      </w:r>
      <w:r w:rsidRPr="003665D6">
        <w:t xml:space="preserve"> make up a relatively large share of income in British Columbia (6.4%), Saskatchewan (4.1%) and </w:t>
      </w:r>
      <w:r w:rsidR="005A0C99" w:rsidRPr="003665D6">
        <w:t>Quebec (3.2%) and a low proportion in Ontario (0.9%);</w:t>
      </w:r>
    </w:p>
    <w:p w:rsidR="00DA152B" w:rsidRPr="003665D6" w:rsidRDefault="005A0C99" w:rsidP="005A5ECF">
      <w:pPr>
        <w:numPr>
          <w:ilvl w:val="0"/>
          <w:numId w:val="20"/>
        </w:numPr>
      </w:pPr>
      <w:r w:rsidRPr="003665D6">
        <w:t xml:space="preserve">Compared with 1.0% over all, spousal and child support makes up a relatively large share of income among working-age poor people with disabilities in </w:t>
      </w:r>
      <w:r w:rsidR="00FB56A0" w:rsidRPr="003665D6">
        <w:t xml:space="preserve">New Brunswick (2.1%), </w:t>
      </w:r>
      <w:r w:rsidRPr="003665D6">
        <w:t>Manitoba (1.7%) and Ontario (1.6%)</w:t>
      </w:r>
      <w:r w:rsidR="00DA152B" w:rsidRPr="003665D6">
        <w:t>. It makes up a low proportion west of Manitoba (less than 0.5%) and in Newfoundland and Labrador (0.7%);</w:t>
      </w:r>
    </w:p>
    <w:p w:rsidR="00A95E18" w:rsidRPr="003665D6" w:rsidRDefault="00DA152B" w:rsidP="005A5ECF">
      <w:pPr>
        <w:numPr>
          <w:ilvl w:val="0"/>
          <w:numId w:val="20"/>
        </w:numPr>
      </w:pPr>
      <w:r w:rsidRPr="003665D6">
        <w:lastRenderedPageBreak/>
        <w:t xml:space="preserve">Federal and provincial child benefits make up a larger than typical share of </w:t>
      </w:r>
      <w:r w:rsidR="00B861A2">
        <w:t xml:space="preserve">the </w:t>
      </w:r>
      <w:r w:rsidRPr="003665D6">
        <w:t>income</w:t>
      </w:r>
      <w:r w:rsidR="00B861A2">
        <w:t xml:space="preserve"> of poor people with disabilities</w:t>
      </w:r>
      <w:r w:rsidRPr="003665D6">
        <w:t xml:space="preserve"> in New Brunswick (13.8%) and Quebec (10.5%) compared with 9% overall</w:t>
      </w:r>
      <w:r w:rsidR="00B861A2">
        <w:t>. These benefits</w:t>
      </w:r>
      <w:r w:rsidR="00A95E18" w:rsidRPr="003665D6">
        <w:t xml:space="preserve"> make up 6.6% in Newfoundland and Labrador and 5</w:t>
      </w:r>
      <w:r w:rsidR="00A640E3">
        <w:t>.2</w:t>
      </w:r>
      <w:r w:rsidR="00A95E18" w:rsidRPr="003665D6">
        <w:t xml:space="preserve">% or less </w:t>
      </w:r>
      <w:r w:rsidR="00A640E3">
        <w:t>Nova Scotia,</w:t>
      </w:r>
      <w:r w:rsidR="00A95E18" w:rsidRPr="003665D6">
        <w:t xml:space="preserve"> British Columbia</w:t>
      </w:r>
      <w:r w:rsidR="00A640E3">
        <w:t xml:space="preserve"> and</w:t>
      </w:r>
      <w:r w:rsidR="00A95E18" w:rsidRPr="003665D6">
        <w:t xml:space="preserve"> Alberta;</w:t>
      </w:r>
    </w:p>
    <w:p w:rsidR="005A0C99" w:rsidRPr="003665D6" w:rsidRDefault="00A95E18" w:rsidP="005A5ECF">
      <w:pPr>
        <w:numPr>
          <w:ilvl w:val="0"/>
          <w:numId w:val="20"/>
        </w:numPr>
      </w:pPr>
      <w:r w:rsidRPr="003665D6">
        <w:t>Compared with 8.9% overall among working-age poor people with disabilities, the C/QPP makes up a relatively lar</w:t>
      </w:r>
      <w:r w:rsidR="00A640E3">
        <w:t xml:space="preserve">ge share of income in Manitoba at </w:t>
      </w:r>
      <w:r w:rsidRPr="003665D6">
        <w:t>19.7% yet only 5.8% in Saskatchewan</w:t>
      </w:r>
      <w:r w:rsidR="009A0876" w:rsidRPr="003665D6">
        <w:t>;</w:t>
      </w:r>
    </w:p>
    <w:p w:rsidR="009A0876" w:rsidRPr="003665D6" w:rsidRDefault="009A0876" w:rsidP="005A5ECF">
      <w:pPr>
        <w:numPr>
          <w:ilvl w:val="0"/>
          <w:numId w:val="20"/>
        </w:numPr>
      </w:pPr>
      <w:r w:rsidRPr="003665D6">
        <w:t>The OAS/GIS accounts for very little of the income of working-age poor people with disabilities overall (0.7%) but notably greater shares in Newfoundland and Labrador (3.5%) and New Brunswick (3.4%);</w:t>
      </w:r>
    </w:p>
    <w:p w:rsidR="008E5D75" w:rsidRPr="003665D6" w:rsidRDefault="009A0876" w:rsidP="005A5ECF">
      <w:pPr>
        <w:numPr>
          <w:ilvl w:val="0"/>
          <w:numId w:val="20"/>
        </w:numPr>
      </w:pPr>
      <w:r w:rsidRPr="003665D6">
        <w:t xml:space="preserve">Compared with 3.5% overall, EI makes up a notably greater share of </w:t>
      </w:r>
      <w:r w:rsidR="00087359">
        <w:t xml:space="preserve">the </w:t>
      </w:r>
      <w:r w:rsidRPr="003665D6">
        <w:t xml:space="preserve">income </w:t>
      </w:r>
      <w:r w:rsidR="00087359">
        <w:t xml:space="preserve">of working-age poor people with disabilities </w:t>
      </w:r>
      <w:r w:rsidRPr="003665D6">
        <w:t>in British Columbia (7.1%) and Nova Scotia (6.1%)</w:t>
      </w:r>
      <w:r w:rsidR="008E5D75" w:rsidRPr="003665D6">
        <w:t xml:space="preserve"> and notably less in Quebec (2.4%), New Brunswick (1.2%) and almost nothing in Manitoba (0.1%);</w:t>
      </w:r>
    </w:p>
    <w:p w:rsidR="009A0876" w:rsidRPr="003665D6" w:rsidRDefault="007B7C31" w:rsidP="005A5ECF">
      <w:pPr>
        <w:numPr>
          <w:ilvl w:val="0"/>
          <w:numId w:val="20"/>
        </w:numPr>
      </w:pPr>
      <w:r>
        <w:t>Workers’ compensation</w:t>
      </w:r>
      <w:r w:rsidR="008E5D75" w:rsidRPr="003665D6">
        <w:t xml:space="preserve"> </w:t>
      </w:r>
      <w:r w:rsidR="002F5DDE">
        <w:t xml:space="preserve">benefits </w:t>
      </w:r>
      <w:r w:rsidR="008E5D75" w:rsidRPr="003665D6">
        <w:t xml:space="preserve">make up a comparatively greater share </w:t>
      </w:r>
      <w:r w:rsidR="008A7770">
        <w:t xml:space="preserve">of the total income of working-age poor people with disabilities </w:t>
      </w:r>
      <w:r w:rsidR="008E5D75" w:rsidRPr="003665D6">
        <w:t xml:space="preserve">in Quebec (3.8%) and no share in Nova Scotia and Saskatchewan (i.e., </w:t>
      </w:r>
      <w:r w:rsidR="00A5719A" w:rsidRPr="003665D6">
        <w:t>0%)</w:t>
      </w:r>
      <w:r w:rsidR="00ED178A" w:rsidRPr="003665D6">
        <w:t xml:space="preserve"> compared with 1.5% overall</w:t>
      </w:r>
      <w:r w:rsidR="00A5719A" w:rsidRPr="003665D6">
        <w:t>;</w:t>
      </w:r>
    </w:p>
    <w:p w:rsidR="00ED178A" w:rsidRPr="003665D6" w:rsidRDefault="001A5DB9" w:rsidP="001A5DB9">
      <w:pPr>
        <w:numPr>
          <w:ilvl w:val="0"/>
          <w:numId w:val="20"/>
        </w:numPr>
      </w:pPr>
      <w:r w:rsidRPr="001A5DB9">
        <w:t xml:space="preserve">Compared with 35.3% </w:t>
      </w:r>
      <w:r w:rsidR="00035908">
        <w:t>for working-age poor people with disabilities overall</w:t>
      </w:r>
      <w:r w:rsidRPr="001A5DB9">
        <w:t xml:space="preserve">, social assistance makes up a somewhat higher than typical share of the total income of working-age poor people with disabilities in Nova Scotia (39.6%) and a considerably higher share than among their non-disabled counterparts </w:t>
      </w:r>
      <w:r w:rsidR="00A640E3">
        <w:t xml:space="preserve">in that province </w:t>
      </w:r>
      <w:r w:rsidRPr="001A5DB9">
        <w:t>(6.1%</w:t>
      </w:r>
      <w:r w:rsidR="00035908">
        <w:t xml:space="preserve">). </w:t>
      </w:r>
    </w:p>
    <w:p w:rsidR="00014352" w:rsidRPr="000146E9" w:rsidRDefault="00014352" w:rsidP="000146E9">
      <w:pPr>
        <w:pStyle w:val="Heading2"/>
      </w:pPr>
      <w:bookmarkStart w:id="48" w:name="_Toc361342903"/>
      <w:r w:rsidRPr="000146E9">
        <w:t xml:space="preserve">Low Income and Living Arrangements </w:t>
      </w:r>
      <w:r w:rsidR="003F646F">
        <w:t>(Working-Age People)</w:t>
      </w:r>
      <w:bookmarkEnd w:id="48"/>
    </w:p>
    <w:p w:rsidR="00F1460C" w:rsidRPr="003665D6" w:rsidRDefault="0017665F" w:rsidP="00014352">
      <w:r>
        <w:t>This section of the report discusses</w:t>
      </w:r>
      <w:r w:rsidR="00014352" w:rsidRPr="003665D6">
        <w:t xml:space="preserve"> income sources for working-age poor people with and without disabilities by living arrangements.</w:t>
      </w:r>
      <w:r w:rsidR="00A16725" w:rsidRPr="003665D6">
        <w:t xml:space="preserve"> ‘Couples’ are people who are married or living common-law. Among people with disabilities, at least one of the two people in a couple has a disability.</w:t>
      </w:r>
      <w:r w:rsidR="00014352" w:rsidRPr="003665D6">
        <w:t xml:space="preserve"> ‘Unattached’ individuals are those who are not living with</w:t>
      </w:r>
      <w:r w:rsidR="00BE53AB" w:rsidRPr="003665D6">
        <w:t xml:space="preserve"> </w:t>
      </w:r>
      <w:r w:rsidR="00F1460C" w:rsidRPr="003665D6">
        <w:t xml:space="preserve">one or more </w:t>
      </w:r>
      <w:r w:rsidR="0086118A" w:rsidRPr="003665D6">
        <w:t>of their</w:t>
      </w:r>
      <w:r w:rsidR="004026F4" w:rsidRPr="003665D6">
        <w:t xml:space="preserve"> economic family members, i.e., not with nuclear or extended family members connected by ties of blood, marriage, common-law or adoption.</w:t>
      </w:r>
      <w:r w:rsidR="003D4429" w:rsidRPr="003665D6">
        <w:t xml:space="preserve"> Unattached people living in one person households live alone. </w:t>
      </w:r>
      <w:r w:rsidR="00BE53AB" w:rsidRPr="003665D6">
        <w:t>‘Multi-person’ households</w:t>
      </w:r>
      <w:r w:rsidR="00C17864" w:rsidRPr="003665D6">
        <w:t xml:space="preserve"> shown on the table</w:t>
      </w:r>
      <w:r w:rsidR="00BE53AB" w:rsidRPr="003665D6">
        <w:t xml:space="preserve"> are ones </w:t>
      </w:r>
      <w:r w:rsidR="002F67F2" w:rsidRPr="003665D6">
        <w:t>where</w:t>
      </w:r>
      <w:r w:rsidR="00C17864" w:rsidRPr="003665D6">
        <w:t xml:space="preserve"> unattached people liv</w:t>
      </w:r>
      <w:r w:rsidR="002F67F2" w:rsidRPr="003665D6">
        <w:t>e</w:t>
      </w:r>
      <w:r w:rsidR="00C17864" w:rsidRPr="003665D6">
        <w:t xml:space="preserve"> with others who</w:t>
      </w:r>
      <w:r w:rsidR="00BE53AB" w:rsidRPr="003665D6">
        <w:t xml:space="preserve"> are not members of the same family. </w:t>
      </w:r>
      <w:r w:rsidR="00BE53AB" w:rsidRPr="007C668C">
        <w:t xml:space="preserve">‘Other’ arrangements are ones </w:t>
      </w:r>
      <w:r w:rsidR="000B6C34" w:rsidRPr="007C668C">
        <w:t xml:space="preserve">where people live with family relatives not detailed on the tables (e.g., aunts, uncles, grandparents, </w:t>
      </w:r>
      <w:r w:rsidR="00C92778" w:rsidRPr="007C668C">
        <w:t xml:space="preserve">adult </w:t>
      </w:r>
      <w:r w:rsidR="000B6C34" w:rsidRPr="007C668C">
        <w:t>child</w:t>
      </w:r>
      <w:r w:rsidR="00614B59" w:rsidRPr="007C668C">
        <w:t>(</w:t>
      </w:r>
      <w:r w:rsidR="000B6C34" w:rsidRPr="007C668C">
        <w:t>ren</w:t>
      </w:r>
      <w:r w:rsidR="00614B59" w:rsidRPr="007C668C">
        <w:t>)</w:t>
      </w:r>
      <w:r w:rsidR="002C7C43" w:rsidRPr="007C668C">
        <w:t xml:space="preserve"> 25 years and older</w:t>
      </w:r>
      <w:r w:rsidR="000B6C34" w:rsidRPr="007C668C">
        <w:t>)</w:t>
      </w:r>
      <w:r w:rsidR="00D24147" w:rsidRPr="007C668C">
        <w:t>.</w:t>
      </w:r>
    </w:p>
    <w:p w:rsidR="00014352" w:rsidRDefault="0017665F" w:rsidP="00014352">
      <w:r>
        <w:lastRenderedPageBreak/>
        <w:t xml:space="preserve">Much of this section draws from Appendix Tables A2a and A2b. </w:t>
      </w:r>
      <w:r w:rsidR="00014352" w:rsidRPr="003665D6">
        <w:t xml:space="preserve">As general benchmarks for background comparison, Appendix Table </w:t>
      </w:r>
      <w:r w:rsidR="00F72C0A" w:rsidRPr="003665D6">
        <w:t>A2</w:t>
      </w:r>
      <w:r w:rsidR="00014352" w:rsidRPr="003665D6">
        <w:t xml:space="preserve">c provides the situation for non-disabled working-age people who are living </w:t>
      </w:r>
      <w:r w:rsidR="00F1460C" w:rsidRPr="003665D6">
        <w:t xml:space="preserve">at or </w:t>
      </w:r>
      <w:r w:rsidR="00014352" w:rsidRPr="003665D6">
        <w:t xml:space="preserve">above the poverty line and Appendix Table </w:t>
      </w:r>
      <w:r w:rsidR="00F72C0A" w:rsidRPr="003665D6">
        <w:t>A2</w:t>
      </w:r>
      <w:r w:rsidR="00014352" w:rsidRPr="003665D6">
        <w:t xml:space="preserve">d shows the situation for working-age people overall, regardless of disability and low income status. </w:t>
      </w:r>
    </w:p>
    <w:p w:rsidR="0017665F" w:rsidRDefault="0017665F" w:rsidP="0017665F">
      <w:pPr>
        <w:pStyle w:val="Heading3"/>
      </w:pPr>
      <w:bookmarkStart w:id="49" w:name="_Toc361342904"/>
      <w:r>
        <w:t>Background Statistics</w:t>
      </w:r>
      <w:bookmarkEnd w:id="49"/>
    </w:p>
    <w:p w:rsidR="0017665F" w:rsidRDefault="0017665F" w:rsidP="0017665F">
      <w:r>
        <w:t>Table 6</w:t>
      </w:r>
      <w:r w:rsidRPr="00DE1032">
        <w:t xml:space="preserve"> </w:t>
      </w:r>
      <w:r>
        <w:t xml:space="preserve">(below) </w:t>
      </w:r>
      <w:r w:rsidRPr="00DE1032">
        <w:t xml:space="preserve">shows the living arrangements of working-age people with and without disabilities by low income status. An immediate point that jumps out for attention is the high percentage of </w:t>
      </w:r>
      <w:r>
        <w:t xml:space="preserve">poor </w:t>
      </w:r>
      <w:r w:rsidRPr="00DE1032">
        <w:t>people with and without disabilities who live alone: 43.6% and 26.6%, respectively, compared with 11.7% of working-age people overall. The shares of people with and without disabilities who live with unrelated others in multi-person households are also high at, respectively, 8.9% and 17.1% vs. 4.5% of working-age people overall.</w:t>
      </w:r>
      <w:r>
        <w:t xml:space="preserve"> Perhaps low income drives some of these individuals to split their housing costs by living together.</w:t>
      </w:r>
    </w:p>
    <w:tbl>
      <w:tblPr>
        <w:tblW w:w="8136" w:type="dxa"/>
        <w:jc w:val="center"/>
        <w:tblInd w:w="-684" w:type="dxa"/>
        <w:tblLook w:val="04A0" w:firstRow="1" w:lastRow="0" w:firstColumn="1" w:lastColumn="0" w:noHBand="0" w:noVBand="1"/>
      </w:tblPr>
      <w:tblGrid>
        <w:gridCol w:w="2524"/>
        <w:gridCol w:w="960"/>
        <w:gridCol w:w="1107"/>
        <w:gridCol w:w="1107"/>
        <w:gridCol w:w="1220"/>
        <w:gridCol w:w="1218"/>
      </w:tblGrid>
      <w:tr w:rsidR="0017665F" w:rsidRPr="00BB69ED" w:rsidTr="008F5E45">
        <w:trPr>
          <w:trHeight w:val="20"/>
          <w:jc w:val="center"/>
        </w:trPr>
        <w:tc>
          <w:tcPr>
            <w:tcW w:w="8136" w:type="dxa"/>
            <w:gridSpan w:val="6"/>
            <w:tcBorders>
              <w:top w:val="single" w:sz="8" w:space="0" w:color="auto"/>
              <w:left w:val="single" w:sz="8" w:space="0" w:color="auto"/>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xml:space="preserve">Table </w:t>
            </w:r>
            <w:r>
              <w:rPr>
                <w:rFonts w:ascii="Calibri" w:eastAsia="Times New Roman" w:hAnsi="Calibri"/>
                <w:b/>
                <w:bCs/>
                <w:color w:val="000000"/>
                <w:sz w:val="22"/>
                <w:szCs w:val="22"/>
              </w:rPr>
              <w:t>6</w:t>
            </w:r>
            <w:r w:rsidRPr="005916AE">
              <w:rPr>
                <w:rFonts w:ascii="Calibri" w:eastAsia="Times New Roman" w:hAnsi="Calibri"/>
                <w:b/>
                <w:bCs/>
                <w:color w:val="000000"/>
                <w:sz w:val="22"/>
                <w:szCs w:val="22"/>
              </w:rPr>
              <w:t xml:space="preserve">. Distribution of working-age people (16-64 years) in the 10 provinces by disability, low income status and living arrangement </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auto" w:fill="auto"/>
            <w:vAlign w:val="bottom"/>
            <w:hideMark/>
          </w:tcPr>
          <w:p w:rsidR="0017665F" w:rsidRPr="005916AE" w:rsidRDefault="0017665F"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2067" w:type="dxa"/>
            <w:gridSpan w:val="2"/>
            <w:tcBorders>
              <w:top w:val="single" w:sz="8" w:space="0" w:color="auto"/>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 disabilities</w:t>
            </w:r>
          </w:p>
        </w:tc>
        <w:tc>
          <w:tcPr>
            <w:tcW w:w="2327" w:type="dxa"/>
            <w:gridSpan w:val="2"/>
            <w:tcBorders>
              <w:top w:val="single" w:sz="8" w:space="0" w:color="auto"/>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Without disabilities</w:t>
            </w:r>
          </w:p>
        </w:tc>
        <w:tc>
          <w:tcPr>
            <w:tcW w:w="1218" w:type="dxa"/>
            <w:tcBorders>
              <w:top w:val="nil"/>
              <w:left w:val="nil"/>
              <w:bottom w:val="single" w:sz="8" w:space="0" w:color="auto"/>
              <w:right w:val="single" w:sz="8" w:space="0" w:color="auto"/>
            </w:tcBorders>
            <w:shd w:val="clear" w:color="auto" w:fill="auto"/>
            <w:noWrap/>
            <w:vAlign w:val="bottom"/>
            <w:hideMark/>
          </w:tcPr>
          <w:p w:rsidR="0017665F" w:rsidRPr="005916AE" w:rsidRDefault="0017665F"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r>
      <w:tr w:rsidR="0017665F" w:rsidRPr="00BB69ED" w:rsidTr="008F5E45">
        <w:trPr>
          <w:trHeight w:val="20"/>
          <w:jc w:val="center"/>
        </w:trPr>
        <w:tc>
          <w:tcPr>
            <w:tcW w:w="2524" w:type="dxa"/>
            <w:tcBorders>
              <w:top w:val="nil"/>
              <w:left w:val="single" w:sz="8" w:space="0" w:color="auto"/>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960" w:type="dxa"/>
            <w:tcBorders>
              <w:top w:val="nil"/>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Low income</w:t>
            </w:r>
          </w:p>
        </w:tc>
        <w:tc>
          <w:tcPr>
            <w:tcW w:w="1107" w:type="dxa"/>
            <w:tcBorders>
              <w:top w:val="nil"/>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Not low income</w:t>
            </w:r>
          </w:p>
        </w:tc>
        <w:tc>
          <w:tcPr>
            <w:tcW w:w="1107" w:type="dxa"/>
            <w:tcBorders>
              <w:top w:val="nil"/>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Low income</w:t>
            </w:r>
          </w:p>
        </w:tc>
        <w:tc>
          <w:tcPr>
            <w:tcW w:w="1220" w:type="dxa"/>
            <w:tcBorders>
              <w:top w:val="nil"/>
              <w:left w:val="nil"/>
              <w:bottom w:val="single" w:sz="8" w:space="0" w:color="auto"/>
              <w:right w:val="single" w:sz="8" w:space="0" w:color="auto"/>
            </w:tcBorders>
            <w:shd w:val="clear" w:color="auto" w:fill="auto"/>
            <w:vAlign w:val="bottom"/>
            <w:hideMark/>
          </w:tcPr>
          <w:p w:rsidR="0017665F" w:rsidRPr="005916AE" w:rsidRDefault="0017665F"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Not low income</w:t>
            </w:r>
          </w:p>
        </w:tc>
        <w:tc>
          <w:tcPr>
            <w:tcW w:w="1218" w:type="dxa"/>
            <w:tcBorders>
              <w:top w:val="nil"/>
              <w:left w:val="nil"/>
              <w:bottom w:val="single" w:sz="8" w:space="0" w:color="auto"/>
              <w:right w:val="single" w:sz="8" w:space="0" w:color="auto"/>
            </w:tcBorders>
            <w:shd w:val="clear" w:color="auto" w:fill="auto"/>
            <w:noWrap/>
            <w:vAlign w:val="bottom"/>
            <w:hideMark/>
          </w:tcPr>
          <w:p w:rsidR="0017665F" w:rsidRPr="005916AE" w:rsidRDefault="0017665F" w:rsidP="008F5E45">
            <w:pPr>
              <w:spacing w:after="0" w:line="240" w:lineRule="auto"/>
              <w:jc w:val="right"/>
              <w:rPr>
                <w:rFonts w:ascii="Calibri" w:eastAsia="Times New Roman" w:hAnsi="Calibri"/>
                <w:b/>
                <w:bCs/>
                <w:color w:val="000000"/>
                <w:sz w:val="22"/>
                <w:szCs w:val="22"/>
              </w:rPr>
            </w:pPr>
            <w:r w:rsidRPr="005916AE">
              <w:rPr>
                <w:rFonts w:ascii="Calibri" w:eastAsia="Times New Roman" w:hAnsi="Calibri"/>
                <w:b/>
                <w:bCs/>
                <w:color w:val="000000"/>
                <w:sz w:val="22"/>
                <w:szCs w:val="22"/>
              </w:rPr>
              <w:t>Total</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000000" w:fill="B8CCE4"/>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Unattached individual in one person household</w:t>
            </w:r>
          </w:p>
        </w:tc>
        <w:tc>
          <w:tcPr>
            <w:tcW w:w="96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43.6%</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10.6%</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26.6%</w:t>
            </w:r>
          </w:p>
        </w:tc>
        <w:tc>
          <w:tcPr>
            <w:tcW w:w="122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8.8%</w:t>
            </w:r>
          </w:p>
        </w:tc>
        <w:tc>
          <w:tcPr>
            <w:tcW w:w="1218"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11.7%</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auto" w:fill="auto"/>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Unattached individual in multi-person household</w:t>
            </w:r>
          </w:p>
        </w:tc>
        <w:tc>
          <w:tcPr>
            <w:tcW w:w="96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8.9%</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3.5%</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17.1%</w:t>
            </w:r>
          </w:p>
        </w:tc>
        <w:tc>
          <w:tcPr>
            <w:tcW w:w="122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3.3%</w:t>
            </w:r>
          </w:p>
        </w:tc>
        <w:tc>
          <w:tcPr>
            <w:tcW w:w="1218"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4.5%</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000000" w:fill="B8CCE4"/>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Married or common-law couple/no children</w:t>
            </w:r>
          </w:p>
        </w:tc>
        <w:tc>
          <w:tcPr>
            <w:tcW w:w="96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13.8%</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26.6%</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8.7%</w:t>
            </w:r>
          </w:p>
        </w:tc>
        <w:tc>
          <w:tcPr>
            <w:tcW w:w="122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21.1%</w:t>
            </w:r>
          </w:p>
        </w:tc>
        <w:tc>
          <w:tcPr>
            <w:tcW w:w="1218"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21.1%</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auto" w:fill="auto"/>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Married or common-law couple with children*</w:t>
            </w:r>
          </w:p>
        </w:tc>
        <w:tc>
          <w:tcPr>
            <w:tcW w:w="96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12.4%</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30.0%</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27.4%</w:t>
            </w:r>
          </w:p>
        </w:tc>
        <w:tc>
          <w:tcPr>
            <w:tcW w:w="122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43.2%</w:t>
            </w:r>
          </w:p>
        </w:tc>
        <w:tc>
          <w:tcPr>
            <w:tcW w:w="1218"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38.4%</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000000" w:fill="B8CCE4"/>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Female lone-parent family*</w:t>
            </w:r>
          </w:p>
        </w:tc>
        <w:tc>
          <w:tcPr>
            <w:tcW w:w="96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9.4%</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5.6%</w:t>
            </w:r>
          </w:p>
        </w:tc>
        <w:tc>
          <w:tcPr>
            <w:tcW w:w="1107"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8.6%</w:t>
            </w:r>
          </w:p>
        </w:tc>
        <w:tc>
          <w:tcPr>
            <w:tcW w:w="1220"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5.1%</w:t>
            </w:r>
          </w:p>
        </w:tc>
        <w:tc>
          <w:tcPr>
            <w:tcW w:w="1218" w:type="dxa"/>
            <w:tcBorders>
              <w:top w:val="nil"/>
              <w:left w:val="nil"/>
              <w:bottom w:val="nil"/>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5.6%</w:t>
            </w:r>
          </w:p>
        </w:tc>
      </w:tr>
      <w:tr w:rsidR="0017665F" w:rsidRPr="00BB69ED" w:rsidTr="008F5E45">
        <w:trPr>
          <w:trHeight w:val="20"/>
          <w:jc w:val="center"/>
        </w:trPr>
        <w:tc>
          <w:tcPr>
            <w:tcW w:w="2524" w:type="dxa"/>
            <w:tcBorders>
              <w:top w:val="nil"/>
              <w:left w:val="single" w:sz="8" w:space="0" w:color="auto"/>
              <w:bottom w:val="nil"/>
              <w:right w:val="single" w:sz="8" w:space="0" w:color="auto"/>
            </w:tcBorders>
            <w:shd w:val="clear" w:color="auto" w:fill="auto"/>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Male lone-parent family*</w:t>
            </w:r>
          </w:p>
        </w:tc>
        <w:tc>
          <w:tcPr>
            <w:tcW w:w="96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2.7%</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1.1%</w:t>
            </w:r>
          </w:p>
        </w:tc>
        <w:tc>
          <w:tcPr>
            <w:tcW w:w="1107"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2.2%</w:t>
            </w:r>
          </w:p>
        </w:tc>
        <w:tc>
          <w:tcPr>
            <w:tcW w:w="1220"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1.3%</w:t>
            </w:r>
          </w:p>
        </w:tc>
        <w:tc>
          <w:tcPr>
            <w:tcW w:w="1218" w:type="dxa"/>
            <w:tcBorders>
              <w:top w:val="nil"/>
              <w:left w:val="nil"/>
              <w:bottom w:val="nil"/>
              <w:right w:val="single" w:sz="8" w:space="0" w:color="auto"/>
            </w:tcBorders>
            <w:shd w:val="clear" w:color="auto" w:fill="auto"/>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1.4%</w:t>
            </w:r>
          </w:p>
        </w:tc>
      </w:tr>
      <w:tr w:rsidR="0017665F" w:rsidRPr="00BB69ED" w:rsidTr="008F5E45">
        <w:trPr>
          <w:trHeight w:val="20"/>
          <w:jc w:val="center"/>
        </w:trPr>
        <w:tc>
          <w:tcPr>
            <w:tcW w:w="2524" w:type="dxa"/>
            <w:tcBorders>
              <w:top w:val="nil"/>
              <w:left w:val="single" w:sz="8" w:space="0" w:color="auto"/>
              <w:bottom w:val="single" w:sz="4" w:space="0" w:color="auto"/>
              <w:right w:val="single" w:sz="8" w:space="0" w:color="auto"/>
            </w:tcBorders>
            <w:shd w:val="clear" w:color="000000" w:fill="B8CCE4"/>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 xml:space="preserve">Other </w:t>
            </w:r>
          </w:p>
        </w:tc>
        <w:tc>
          <w:tcPr>
            <w:tcW w:w="960" w:type="dxa"/>
            <w:tcBorders>
              <w:top w:val="nil"/>
              <w:left w:val="nil"/>
              <w:bottom w:val="single" w:sz="4" w:space="0" w:color="auto"/>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9.1%</w:t>
            </w:r>
          </w:p>
        </w:tc>
        <w:tc>
          <w:tcPr>
            <w:tcW w:w="1107" w:type="dxa"/>
            <w:tcBorders>
              <w:top w:val="nil"/>
              <w:left w:val="nil"/>
              <w:bottom w:val="single" w:sz="4" w:space="0" w:color="auto"/>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22.6%</w:t>
            </w:r>
          </w:p>
        </w:tc>
        <w:tc>
          <w:tcPr>
            <w:tcW w:w="1107" w:type="dxa"/>
            <w:tcBorders>
              <w:top w:val="nil"/>
              <w:left w:val="nil"/>
              <w:bottom w:val="single" w:sz="4" w:space="0" w:color="auto"/>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9.4%</w:t>
            </w:r>
          </w:p>
        </w:tc>
        <w:tc>
          <w:tcPr>
            <w:tcW w:w="1220" w:type="dxa"/>
            <w:tcBorders>
              <w:top w:val="nil"/>
              <w:left w:val="nil"/>
              <w:bottom w:val="single" w:sz="4" w:space="0" w:color="auto"/>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17.1%</w:t>
            </w:r>
          </w:p>
        </w:tc>
        <w:tc>
          <w:tcPr>
            <w:tcW w:w="1218" w:type="dxa"/>
            <w:tcBorders>
              <w:top w:val="nil"/>
              <w:left w:val="nil"/>
              <w:bottom w:val="single" w:sz="4" w:space="0" w:color="auto"/>
              <w:right w:val="single" w:sz="8" w:space="0" w:color="auto"/>
            </w:tcBorders>
            <w:shd w:val="clear" w:color="000000" w:fill="B8CCE4"/>
            <w:noWrap/>
            <w:vAlign w:val="center"/>
            <w:hideMark/>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17.4%</w:t>
            </w:r>
          </w:p>
        </w:tc>
      </w:tr>
      <w:tr w:rsidR="0017665F" w:rsidRPr="00BB69ED" w:rsidTr="008F5E45">
        <w:trPr>
          <w:trHeight w:val="20"/>
          <w:jc w:val="center"/>
        </w:trPr>
        <w:tc>
          <w:tcPr>
            <w:tcW w:w="2524" w:type="dxa"/>
            <w:tcBorders>
              <w:top w:val="single" w:sz="4" w:space="0" w:color="auto"/>
              <w:left w:val="single" w:sz="8" w:space="0" w:color="auto"/>
              <w:bottom w:val="single" w:sz="4" w:space="0" w:color="auto"/>
              <w:right w:val="single" w:sz="8" w:space="0" w:color="auto"/>
            </w:tcBorders>
            <w:shd w:val="clear" w:color="auto" w:fill="auto"/>
            <w:vAlign w:val="center"/>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Total percentage</w:t>
            </w:r>
          </w:p>
        </w:tc>
        <w:tc>
          <w:tcPr>
            <w:tcW w:w="960" w:type="dxa"/>
            <w:tcBorders>
              <w:top w:val="single" w:sz="4" w:space="0" w:color="auto"/>
              <w:left w:val="nil"/>
              <w:bottom w:val="single" w:sz="4" w:space="0" w:color="auto"/>
              <w:right w:val="single" w:sz="8" w:space="0" w:color="auto"/>
            </w:tcBorders>
            <w:shd w:val="clear" w:color="auto" w:fill="auto"/>
            <w:noWrap/>
            <w:vAlign w:val="center"/>
          </w:tcPr>
          <w:p w:rsidR="0017665F" w:rsidRPr="005916AE" w:rsidRDefault="0017665F" w:rsidP="008F5E45">
            <w:pPr>
              <w:spacing w:after="0"/>
              <w:jc w:val="right"/>
              <w:rPr>
                <w:rFonts w:ascii="Calibri" w:hAnsi="Calibri"/>
                <w:sz w:val="22"/>
                <w:szCs w:val="22"/>
              </w:rPr>
            </w:pPr>
            <w:r w:rsidRPr="005916AE">
              <w:rPr>
                <w:rFonts w:ascii="Calibri" w:hAnsi="Calibri"/>
                <w:sz w:val="22"/>
                <w:szCs w:val="22"/>
              </w:rPr>
              <w:t>100.0%</w:t>
            </w:r>
          </w:p>
        </w:tc>
        <w:tc>
          <w:tcPr>
            <w:tcW w:w="1107" w:type="dxa"/>
            <w:tcBorders>
              <w:top w:val="single" w:sz="4" w:space="0" w:color="auto"/>
              <w:left w:val="nil"/>
              <w:bottom w:val="single" w:sz="4" w:space="0" w:color="auto"/>
              <w:right w:val="single" w:sz="8" w:space="0" w:color="auto"/>
            </w:tcBorders>
            <w:shd w:val="clear" w:color="auto" w:fill="auto"/>
            <w:noWrap/>
            <w:vAlign w:val="center"/>
          </w:tcPr>
          <w:p w:rsidR="0017665F" w:rsidRPr="005916AE" w:rsidRDefault="0017665F" w:rsidP="008F5E45">
            <w:pPr>
              <w:spacing w:after="0"/>
              <w:jc w:val="right"/>
              <w:rPr>
                <w:rFonts w:ascii="Calibri" w:hAnsi="Calibri"/>
                <w:sz w:val="22"/>
                <w:szCs w:val="22"/>
              </w:rPr>
            </w:pPr>
            <w:r w:rsidRPr="003F7C82">
              <w:rPr>
                <w:rFonts w:ascii="Calibri" w:hAnsi="Calibri"/>
                <w:sz w:val="22"/>
                <w:szCs w:val="22"/>
              </w:rPr>
              <w:t>100.0%</w:t>
            </w:r>
          </w:p>
        </w:tc>
        <w:tc>
          <w:tcPr>
            <w:tcW w:w="1107" w:type="dxa"/>
            <w:tcBorders>
              <w:top w:val="single" w:sz="4" w:space="0" w:color="auto"/>
              <w:left w:val="nil"/>
              <w:bottom w:val="single" w:sz="4" w:space="0" w:color="auto"/>
              <w:right w:val="single" w:sz="8" w:space="0" w:color="auto"/>
            </w:tcBorders>
            <w:shd w:val="clear" w:color="auto" w:fill="auto"/>
            <w:noWrap/>
            <w:vAlign w:val="center"/>
          </w:tcPr>
          <w:p w:rsidR="0017665F" w:rsidRDefault="0017665F" w:rsidP="008F5E45">
            <w:pPr>
              <w:spacing w:after="0"/>
              <w:jc w:val="right"/>
            </w:pPr>
            <w:r w:rsidRPr="005916AE">
              <w:rPr>
                <w:rFonts w:ascii="Calibri" w:hAnsi="Calibri"/>
                <w:sz w:val="22"/>
                <w:szCs w:val="22"/>
              </w:rPr>
              <w:t>100.0%</w:t>
            </w:r>
          </w:p>
        </w:tc>
        <w:tc>
          <w:tcPr>
            <w:tcW w:w="1220" w:type="dxa"/>
            <w:tcBorders>
              <w:top w:val="single" w:sz="4" w:space="0" w:color="auto"/>
              <w:left w:val="nil"/>
              <w:bottom w:val="single" w:sz="4" w:space="0" w:color="auto"/>
              <w:right w:val="single" w:sz="8" w:space="0" w:color="auto"/>
            </w:tcBorders>
            <w:shd w:val="clear" w:color="auto" w:fill="auto"/>
            <w:noWrap/>
            <w:vAlign w:val="center"/>
          </w:tcPr>
          <w:p w:rsidR="0017665F" w:rsidRDefault="0017665F" w:rsidP="008F5E45">
            <w:pPr>
              <w:spacing w:after="0"/>
              <w:jc w:val="right"/>
            </w:pPr>
            <w:r w:rsidRPr="005916AE">
              <w:rPr>
                <w:rFonts w:ascii="Calibri" w:hAnsi="Calibri"/>
                <w:sz w:val="22"/>
                <w:szCs w:val="22"/>
              </w:rPr>
              <w:t>100.0%</w:t>
            </w:r>
          </w:p>
        </w:tc>
        <w:tc>
          <w:tcPr>
            <w:tcW w:w="1218" w:type="dxa"/>
            <w:tcBorders>
              <w:top w:val="single" w:sz="4" w:space="0" w:color="auto"/>
              <w:left w:val="nil"/>
              <w:bottom w:val="single" w:sz="4" w:space="0" w:color="auto"/>
              <w:right w:val="single" w:sz="8" w:space="0" w:color="auto"/>
            </w:tcBorders>
            <w:shd w:val="clear" w:color="auto" w:fill="auto"/>
            <w:noWrap/>
            <w:vAlign w:val="center"/>
          </w:tcPr>
          <w:p w:rsidR="0017665F" w:rsidRDefault="0017665F" w:rsidP="008F5E45">
            <w:pPr>
              <w:spacing w:after="0"/>
              <w:jc w:val="right"/>
            </w:pPr>
            <w:r w:rsidRPr="005916AE">
              <w:rPr>
                <w:rFonts w:ascii="Calibri" w:hAnsi="Calibri"/>
                <w:sz w:val="22"/>
                <w:szCs w:val="22"/>
              </w:rPr>
              <w:t>100.0%</w:t>
            </w:r>
          </w:p>
        </w:tc>
      </w:tr>
      <w:tr w:rsidR="0017665F" w:rsidRPr="00BB69ED" w:rsidTr="008F5E45">
        <w:trPr>
          <w:trHeight w:val="20"/>
          <w:jc w:val="center"/>
        </w:trPr>
        <w:tc>
          <w:tcPr>
            <w:tcW w:w="25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7665F" w:rsidRPr="005916AE" w:rsidRDefault="0017665F" w:rsidP="008F5E45">
            <w:pPr>
              <w:spacing w:after="0" w:line="240" w:lineRule="auto"/>
              <w:rPr>
                <w:rFonts w:ascii="Calibri" w:eastAsia="Times New Roman" w:hAnsi="Calibri"/>
                <w:bCs/>
                <w:color w:val="000000"/>
                <w:sz w:val="22"/>
                <w:szCs w:val="22"/>
              </w:rPr>
            </w:pPr>
            <w:r w:rsidRPr="005916AE">
              <w:rPr>
                <w:rFonts w:ascii="Calibri" w:eastAsia="Times New Roman" w:hAnsi="Calibri"/>
                <w:bCs/>
                <w:color w:val="000000"/>
                <w:sz w:val="22"/>
                <w:szCs w:val="22"/>
              </w:rPr>
              <w:t>Total number (Canada, excl. territories)</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17665F" w:rsidRPr="005916AE" w:rsidRDefault="0017665F"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932,000</w:t>
            </w:r>
          </w:p>
        </w:tc>
        <w:tc>
          <w:tcPr>
            <w:tcW w:w="1107" w:type="dxa"/>
            <w:tcBorders>
              <w:top w:val="single" w:sz="4" w:space="0" w:color="auto"/>
              <w:left w:val="nil"/>
              <w:bottom w:val="single" w:sz="8" w:space="0" w:color="auto"/>
              <w:right w:val="single" w:sz="8" w:space="0" w:color="auto"/>
            </w:tcBorders>
            <w:shd w:val="clear" w:color="auto" w:fill="auto"/>
            <w:noWrap/>
            <w:vAlign w:val="center"/>
            <w:hideMark/>
          </w:tcPr>
          <w:p w:rsidR="0017665F" w:rsidRPr="005916AE" w:rsidRDefault="0017665F"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4,370,100</w:t>
            </w:r>
          </w:p>
        </w:tc>
        <w:tc>
          <w:tcPr>
            <w:tcW w:w="1107" w:type="dxa"/>
            <w:tcBorders>
              <w:top w:val="single" w:sz="4" w:space="0" w:color="auto"/>
              <w:left w:val="nil"/>
              <w:bottom w:val="single" w:sz="8" w:space="0" w:color="auto"/>
              <w:right w:val="single" w:sz="8" w:space="0" w:color="auto"/>
            </w:tcBorders>
            <w:shd w:val="clear" w:color="auto" w:fill="auto"/>
            <w:noWrap/>
            <w:vAlign w:val="center"/>
            <w:hideMark/>
          </w:tcPr>
          <w:p w:rsidR="0017665F" w:rsidRPr="005916AE" w:rsidRDefault="0017665F"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1,384,900</w:t>
            </w:r>
          </w:p>
        </w:tc>
        <w:tc>
          <w:tcPr>
            <w:tcW w:w="1220" w:type="dxa"/>
            <w:tcBorders>
              <w:top w:val="single" w:sz="4" w:space="0" w:color="auto"/>
              <w:left w:val="nil"/>
              <w:bottom w:val="single" w:sz="8" w:space="0" w:color="auto"/>
              <w:right w:val="single" w:sz="8" w:space="0" w:color="auto"/>
            </w:tcBorders>
            <w:shd w:val="clear" w:color="auto" w:fill="auto"/>
            <w:noWrap/>
            <w:vAlign w:val="center"/>
            <w:hideMark/>
          </w:tcPr>
          <w:p w:rsidR="0017665F" w:rsidRPr="005916AE" w:rsidRDefault="0017665F"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15,733,200</w:t>
            </w:r>
          </w:p>
        </w:tc>
        <w:tc>
          <w:tcPr>
            <w:tcW w:w="1218" w:type="dxa"/>
            <w:tcBorders>
              <w:top w:val="single" w:sz="4" w:space="0" w:color="auto"/>
              <w:left w:val="nil"/>
              <w:bottom w:val="single" w:sz="8" w:space="0" w:color="auto"/>
              <w:right w:val="single" w:sz="8" w:space="0" w:color="auto"/>
            </w:tcBorders>
            <w:shd w:val="clear" w:color="auto" w:fill="auto"/>
            <w:noWrap/>
            <w:vAlign w:val="center"/>
            <w:hideMark/>
          </w:tcPr>
          <w:p w:rsidR="0017665F" w:rsidRPr="005916AE" w:rsidRDefault="0017665F"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22,420,100</w:t>
            </w:r>
          </w:p>
        </w:tc>
      </w:tr>
      <w:tr w:rsidR="0017665F" w:rsidRPr="00C2528E" w:rsidTr="008F5E45">
        <w:trPr>
          <w:trHeight w:val="20"/>
          <w:jc w:val="center"/>
        </w:trPr>
        <w:tc>
          <w:tcPr>
            <w:tcW w:w="3484" w:type="dxa"/>
            <w:gridSpan w:val="2"/>
            <w:tcBorders>
              <w:top w:val="nil"/>
              <w:left w:val="nil"/>
              <w:bottom w:val="nil"/>
              <w:right w:val="nil"/>
            </w:tcBorders>
            <w:shd w:val="clear" w:color="auto" w:fill="auto"/>
            <w:noWrap/>
            <w:vAlign w:val="bottom"/>
            <w:hideMark/>
          </w:tcPr>
          <w:p w:rsidR="0017665F" w:rsidRPr="00C2528E" w:rsidRDefault="0017665F" w:rsidP="008F5E45">
            <w:pPr>
              <w:spacing w:after="0" w:line="240" w:lineRule="auto"/>
              <w:rPr>
                <w:rFonts w:ascii="Calibri" w:eastAsia="Times New Roman" w:hAnsi="Calibri" w:cs="Arial"/>
                <w:color w:val="000000"/>
                <w:sz w:val="16"/>
                <w:szCs w:val="16"/>
              </w:rPr>
            </w:pPr>
            <w:r w:rsidRPr="00C2528E">
              <w:rPr>
                <w:rFonts w:ascii="Calibri" w:eastAsia="Times New Roman" w:hAnsi="Calibri" w:cs="Arial"/>
                <w:color w:val="000000"/>
                <w:sz w:val="16"/>
                <w:szCs w:val="16"/>
              </w:rPr>
              <w:t>* All children younger than 25 years</w:t>
            </w:r>
          </w:p>
        </w:tc>
        <w:tc>
          <w:tcPr>
            <w:tcW w:w="1107" w:type="dxa"/>
            <w:tcBorders>
              <w:top w:val="nil"/>
              <w:left w:val="nil"/>
              <w:bottom w:val="nil"/>
              <w:right w:val="nil"/>
            </w:tcBorders>
            <w:shd w:val="clear" w:color="auto" w:fill="auto"/>
            <w:noWrap/>
            <w:vAlign w:val="bottom"/>
            <w:hideMark/>
          </w:tcPr>
          <w:p w:rsidR="0017665F" w:rsidRPr="00C2528E" w:rsidRDefault="0017665F" w:rsidP="008F5E45">
            <w:pPr>
              <w:spacing w:after="0" w:line="240" w:lineRule="auto"/>
              <w:rPr>
                <w:rFonts w:ascii="Calibri" w:eastAsia="Times New Roman" w:hAnsi="Calibri"/>
                <w:color w:val="000000"/>
                <w:sz w:val="16"/>
                <w:szCs w:val="16"/>
              </w:rPr>
            </w:pPr>
          </w:p>
        </w:tc>
        <w:tc>
          <w:tcPr>
            <w:tcW w:w="1107" w:type="dxa"/>
            <w:tcBorders>
              <w:top w:val="nil"/>
              <w:left w:val="nil"/>
              <w:bottom w:val="nil"/>
              <w:right w:val="nil"/>
            </w:tcBorders>
            <w:shd w:val="clear" w:color="auto" w:fill="auto"/>
            <w:noWrap/>
            <w:vAlign w:val="bottom"/>
            <w:hideMark/>
          </w:tcPr>
          <w:p w:rsidR="0017665F" w:rsidRPr="00C2528E" w:rsidRDefault="0017665F" w:rsidP="008F5E45">
            <w:pPr>
              <w:spacing w:after="0" w:line="240" w:lineRule="auto"/>
              <w:rPr>
                <w:rFonts w:ascii="Calibri" w:eastAsia="Times New Roman" w:hAnsi="Calibri"/>
                <w:color w:val="000000"/>
                <w:sz w:val="16"/>
                <w:szCs w:val="16"/>
              </w:rPr>
            </w:pPr>
          </w:p>
        </w:tc>
        <w:tc>
          <w:tcPr>
            <w:tcW w:w="1220" w:type="dxa"/>
            <w:tcBorders>
              <w:top w:val="nil"/>
              <w:left w:val="nil"/>
              <w:bottom w:val="nil"/>
              <w:right w:val="nil"/>
            </w:tcBorders>
            <w:shd w:val="clear" w:color="auto" w:fill="auto"/>
            <w:noWrap/>
            <w:vAlign w:val="bottom"/>
            <w:hideMark/>
          </w:tcPr>
          <w:p w:rsidR="0017665F" w:rsidRPr="00C2528E" w:rsidRDefault="0017665F" w:rsidP="008F5E45">
            <w:pPr>
              <w:spacing w:after="0" w:line="240" w:lineRule="auto"/>
              <w:rPr>
                <w:rFonts w:ascii="Calibri" w:eastAsia="Times New Roman" w:hAnsi="Calibri"/>
                <w:color w:val="000000"/>
                <w:sz w:val="16"/>
                <w:szCs w:val="16"/>
              </w:rPr>
            </w:pPr>
          </w:p>
        </w:tc>
        <w:tc>
          <w:tcPr>
            <w:tcW w:w="1218" w:type="dxa"/>
            <w:tcBorders>
              <w:top w:val="nil"/>
              <w:left w:val="nil"/>
              <w:bottom w:val="nil"/>
              <w:right w:val="nil"/>
            </w:tcBorders>
            <w:shd w:val="clear" w:color="auto" w:fill="auto"/>
            <w:noWrap/>
            <w:vAlign w:val="bottom"/>
            <w:hideMark/>
          </w:tcPr>
          <w:p w:rsidR="0017665F" w:rsidRPr="00C2528E" w:rsidRDefault="0017665F" w:rsidP="008F5E45">
            <w:pPr>
              <w:spacing w:after="0" w:line="240" w:lineRule="auto"/>
              <w:rPr>
                <w:rFonts w:ascii="Calibri" w:eastAsia="Times New Roman" w:hAnsi="Calibri"/>
                <w:color w:val="000000"/>
                <w:sz w:val="16"/>
                <w:szCs w:val="16"/>
              </w:rPr>
            </w:pPr>
          </w:p>
        </w:tc>
      </w:tr>
      <w:tr w:rsidR="0017665F" w:rsidRPr="00BB69ED" w:rsidTr="008F5E45">
        <w:trPr>
          <w:trHeight w:val="20"/>
          <w:jc w:val="center"/>
        </w:trPr>
        <w:tc>
          <w:tcPr>
            <w:tcW w:w="2524" w:type="dxa"/>
            <w:tcBorders>
              <w:top w:val="nil"/>
              <w:left w:val="nil"/>
              <w:bottom w:val="nil"/>
              <w:right w:val="nil"/>
            </w:tcBorders>
            <w:shd w:val="clear" w:color="auto" w:fill="auto"/>
            <w:vAlign w:val="bottom"/>
            <w:hideMark/>
          </w:tcPr>
          <w:p w:rsidR="0017665F" w:rsidRPr="00BB69ED" w:rsidRDefault="0017665F" w:rsidP="008F5E45">
            <w:pPr>
              <w:spacing w:after="0" w:line="240" w:lineRule="auto"/>
              <w:rPr>
                <w:rFonts w:ascii="Calibri" w:eastAsia="Times New Roman" w:hAnsi="Calibri"/>
                <w:bCs/>
                <w:color w:val="000000"/>
                <w:sz w:val="16"/>
                <w:szCs w:val="16"/>
              </w:rPr>
            </w:pPr>
            <w:r w:rsidRPr="00BB69ED">
              <w:rPr>
                <w:rFonts w:ascii="Calibri" w:eastAsia="Times New Roman" w:hAnsi="Calibri"/>
                <w:bCs/>
                <w:color w:val="000000"/>
                <w:sz w:val="16"/>
                <w:szCs w:val="16"/>
              </w:rPr>
              <w:t>Source: SLID 2009 PUMF</w:t>
            </w:r>
          </w:p>
        </w:tc>
        <w:tc>
          <w:tcPr>
            <w:tcW w:w="960" w:type="dxa"/>
            <w:tcBorders>
              <w:top w:val="nil"/>
              <w:left w:val="nil"/>
              <w:bottom w:val="nil"/>
              <w:right w:val="nil"/>
            </w:tcBorders>
            <w:shd w:val="clear" w:color="auto" w:fill="auto"/>
            <w:noWrap/>
            <w:vAlign w:val="bottom"/>
            <w:hideMark/>
          </w:tcPr>
          <w:p w:rsidR="0017665F" w:rsidRPr="00BB69ED" w:rsidRDefault="0017665F" w:rsidP="008F5E45">
            <w:pPr>
              <w:spacing w:after="0" w:line="240" w:lineRule="auto"/>
              <w:rPr>
                <w:rFonts w:ascii="Calibri" w:eastAsia="Times New Roman" w:hAnsi="Calibri"/>
                <w:color w:val="000000"/>
                <w:sz w:val="16"/>
                <w:szCs w:val="16"/>
              </w:rPr>
            </w:pPr>
          </w:p>
        </w:tc>
        <w:tc>
          <w:tcPr>
            <w:tcW w:w="1107" w:type="dxa"/>
            <w:tcBorders>
              <w:top w:val="nil"/>
              <w:left w:val="nil"/>
              <w:bottom w:val="nil"/>
              <w:right w:val="nil"/>
            </w:tcBorders>
            <w:shd w:val="clear" w:color="auto" w:fill="auto"/>
            <w:noWrap/>
            <w:vAlign w:val="bottom"/>
            <w:hideMark/>
          </w:tcPr>
          <w:p w:rsidR="0017665F" w:rsidRPr="00BB69ED" w:rsidRDefault="0017665F" w:rsidP="008F5E45">
            <w:pPr>
              <w:spacing w:after="0" w:line="240" w:lineRule="auto"/>
              <w:rPr>
                <w:rFonts w:ascii="Calibri" w:eastAsia="Times New Roman" w:hAnsi="Calibri"/>
                <w:color w:val="000000"/>
                <w:sz w:val="16"/>
                <w:szCs w:val="16"/>
              </w:rPr>
            </w:pPr>
          </w:p>
        </w:tc>
        <w:tc>
          <w:tcPr>
            <w:tcW w:w="1107" w:type="dxa"/>
            <w:tcBorders>
              <w:top w:val="nil"/>
              <w:left w:val="nil"/>
              <w:bottom w:val="nil"/>
              <w:right w:val="nil"/>
            </w:tcBorders>
            <w:shd w:val="clear" w:color="auto" w:fill="auto"/>
            <w:noWrap/>
            <w:vAlign w:val="bottom"/>
            <w:hideMark/>
          </w:tcPr>
          <w:p w:rsidR="0017665F" w:rsidRPr="00BB69ED" w:rsidRDefault="0017665F" w:rsidP="008F5E45">
            <w:pPr>
              <w:spacing w:after="0" w:line="240" w:lineRule="auto"/>
              <w:rPr>
                <w:rFonts w:ascii="Calibri" w:eastAsia="Times New Roman" w:hAnsi="Calibri"/>
                <w:color w:val="000000"/>
                <w:sz w:val="16"/>
                <w:szCs w:val="16"/>
              </w:rPr>
            </w:pPr>
          </w:p>
        </w:tc>
        <w:tc>
          <w:tcPr>
            <w:tcW w:w="1220" w:type="dxa"/>
            <w:tcBorders>
              <w:top w:val="nil"/>
              <w:left w:val="nil"/>
              <w:bottom w:val="nil"/>
              <w:right w:val="nil"/>
            </w:tcBorders>
            <w:shd w:val="clear" w:color="auto" w:fill="auto"/>
            <w:noWrap/>
            <w:vAlign w:val="bottom"/>
            <w:hideMark/>
          </w:tcPr>
          <w:p w:rsidR="0017665F" w:rsidRPr="00BB69ED" w:rsidRDefault="0017665F" w:rsidP="008F5E45">
            <w:pPr>
              <w:spacing w:after="0" w:line="240" w:lineRule="auto"/>
              <w:rPr>
                <w:rFonts w:ascii="Calibri" w:eastAsia="Times New Roman" w:hAnsi="Calibri"/>
                <w:color w:val="000000"/>
                <w:sz w:val="16"/>
                <w:szCs w:val="16"/>
              </w:rPr>
            </w:pPr>
          </w:p>
        </w:tc>
        <w:tc>
          <w:tcPr>
            <w:tcW w:w="1218" w:type="dxa"/>
            <w:tcBorders>
              <w:top w:val="nil"/>
              <w:left w:val="nil"/>
              <w:bottom w:val="nil"/>
              <w:right w:val="nil"/>
            </w:tcBorders>
            <w:shd w:val="clear" w:color="auto" w:fill="auto"/>
            <w:noWrap/>
            <w:vAlign w:val="bottom"/>
            <w:hideMark/>
          </w:tcPr>
          <w:p w:rsidR="0017665F" w:rsidRPr="00BB69ED" w:rsidRDefault="0017665F" w:rsidP="008F5E45">
            <w:pPr>
              <w:spacing w:after="0" w:line="240" w:lineRule="auto"/>
              <w:rPr>
                <w:rFonts w:ascii="Calibri" w:eastAsia="Times New Roman" w:hAnsi="Calibri"/>
                <w:color w:val="000000"/>
                <w:sz w:val="16"/>
                <w:szCs w:val="16"/>
              </w:rPr>
            </w:pPr>
          </w:p>
        </w:tc>
      </w:tr>
    </w:tbl>
    <w:p w:rsidR="0017665F" w:rsidRPr="00BB69ED" w:rsidRDefault="0017665F" w:rsidP="0017665F"/>
    <w:p w:rsidR="006E0DEF" w:rsidRDefault="00A75CEA" w:rsidP="006E0DEF">
      <w:pPr>
        <w:pStyle w:val="Heading3"/>
      </w:pPr>
      <w:bookmarkStart w:id="50" w:name="_Toc361342905"/>
      <w:r>
        <w:t>... Poor People</w:t>
      </w:r>
      <w:r w:rsidR="0013070B">
        <w:t xml:space="preserve"> w</w:t>
      </w:r>
      <w:r w:rsidR="006E0DEF">
        <w:t>ith Disabilities</w:t>
      </w:r>
      <w:bookmarkEnd w:id="50"/>
    </w:p>
    <w:p w:rsidR="006E0DEF" w:rsidRPr="003665D6" w:rsidRDefault="00766162" w:rsidP="006E0DEF">
      <w:r w:rsidRPr="003665D6">
        <w:t xml:space="preserve">The following discussion draws from </w:t>
      </w:r>
      <w:r w:rsidR="006E0DEF" w:rsidRPr="003665D6">
        <w:t xml:space="preserve">Appendix Table </w:t>
      </w:r>
      <w:r w:rsidR="00F72C0A" w:rsidRPr="003665D6">
        <w:t>A2</w:t>
      </w:r>
      <w:r w:rsidR="006E0DEF" w:rsidRPr="003665D6">
        <w:t>a</w:t>
      </w:r>
      <w:r w:rsidRPr="003665D6">
        <w:t>, which</w:t>
      </w:r>
      <w:r w:rsidR="006E0DEF" w:rsidRPr="003665D6">
        <w:t xml:space="preserve"> </w:t>
      </w:r>
      <w:r w:rsidR="003F478B" w:rsidRPr="003665D6">
        <w:t>shows</w:t>
      </w:r>
      <w:r w:rsidR="006E0DEF" w:rsidRPr="003665D6">
        <w:t xml:space="preserve"> the makeup of </w:t>
      </w:r>
      <w:r w:rsidR="003F478B" w:rsidRPr="003665D6">
        <w:t xml:space="preserve">the </w:t>
      </w:r>
      <w:r w:rsidR="006E0DEF" w:rsidRPr="003665D6">
        <w:t>total income</w:t>
      </w:r>
      <w:r w:rsidR="003F478B" w:rsidRPr="003665D6">
        <w:t>s of</w:t>
      </w:r>
      <w:r w:rsidR="006E0DEF" w:rsidRPr="003665D6">
        <w:t xml:space="preserve"> working-age poor people with disabilities by living arrangements. </w:t>
      </w:r>
    </w:p>
    <w:p w:rsidR="00CB75DE" w:rsidRPr="003665D6" w:rsidRDefault="00CB75DE" w:rsidP="007777A7">
      <w:pPr>
        <w:numPr>
          <w:ilvl w:val="0"/>
          <w:numId w:val="15"/>
        </w:numPr>
      </w:pPr>
      <w:r w:rsidRPr="003665D6">
        <w:lastRenderedPageBreak/>
        <w:t xml:space="preserve">Compared with $10,335 overall for working-age poor people with disabilities, unattached </w:t>
      </w:r>
      <w:r w:rsidR="00CD001E">
        <w:t xml:space="preserve">poor </w:t>
      </w:r>
      <w:r w:rsidRPr="003665D6">
        <w:t xml:space="preserve">people </w:t>
      </w:r>
      <w:r w:rsidR="00836695">
        <w:t>with disabilities who live</w:t>
      </w:r>
      <w:r w:rsidRPr="003665D6">
        <w:t xml:space="preserve"> with others have relatively high incomes ($16,201) </w:t>
      </w:r>
      <w:r w:rsidR="00505EC8" w:rsidRPr="003665D6">
        <w:t xml:space="preserve">and </w:t>
      </w:r>
      <w:r w:rsidR="00CD001E">
        <w:t xml:space="preserve">poor people with disabilities in </w:t>
      </w:r>
      <w:r w:rsidR="00505EC8" w:rsidRPr="003665D6">
        <w:t xml:space="preserve">couples with no children have very low incomes ($6,300). </w:t>
      </w:r>
    </w:p>
    <w:p w:rsidR="00505EC8" w:rsidRPr="003665D6" w:rsidRDefault="00505EC8" w:rsidP="007777A7">
      <w:pPr>
        <w:numPr>
          <w:ilvl w:val="0"/>
          <w:numId w:val="15"/>
        </w:numPr>
      </w:pPr>
      <w:r w:rsidRPr="003665D6">
        <w:t xml:space="preserve">Compared with 65.2% overall, </w:t>
      </w:r>
      <w:r w:rsidR="00E75309">
        <w:t xml:space="preserve">working-age </w:t>
      </w:r>
      <w:r w:rsidRPr="003665D6">
        <w:t xml:space="preserve">disabled and poor female lone parents have the highest share of income from government transfers (83%) followed next by unattached </w:t>
      </w:r>
      <w:r w:rsidR="007777A7" w:rsidRPr="003665D6">
        <w:t xml:space="preserve">people who live alone (75.3%). Unattached poor and disabled individuals who live </w:t>
      </w:r>
      <w:r w:rsidR="00766162" w:rsidRPr="003665D6">
        <w:t>with others in multi-person households</w:t>
      </w:r>
      <w:r w:rsidR="007777A7" w:rsidRPr="003665D6">
        <w:t xml:space="preserve"> have the lowest overall share of transfer income (32.5%).</w:t>
      </w:r>
    </w:p>
    <w:p w:rsidR="006E0DEF" w:rsidRPr="003665D6" w:rsidRDefault="006E0DEF" w:rsidP="00023F9A">
      <w:pPr>
        <w:numPr>
          <w:ilvl w:val="0"/>
          <w:numId w:val="14"/>
        </w:numPr>
      </w:pPr>
      <w:r w:rsidRPr="003665D6">
        <w:t>Self-employment income makes up a higher than typical share of total income among various</w:t>
      </w:r>
      <w:r w:rsidR="006C766E" w:rsidRPr="003665D6">
        <w:t xml:space="preserve"> </w:t>
      </w:r>
      <w:r w:rsidR="00766162" w:rsidRPr="003665D6">
        <w:t>poor and disabled</w:t>
      </w:r>
      <w:r w:rsidR="00E97F2B">
        <w:t xml:space="preserve"> ‘other’</w:t>
      </w:r>
      <w:r w:rsidR="00766162" w:rsidRPr="003665D6">
        <w:t xml:space="preserve"> </w:t>
      </w:r>
      <w:r w:rsidRPr="003665D6">
        <w:t>family members</w:t>
      </w:r>
      <w:r w:rsidR="003F478B" w:rsidRPr="003665D6">
        <w:t xml:space="preserve"> </w:t>
      </w:r>
      <w:r w:rsidR="008C65BE" w:rsidRPr="003665D6">
        <w:t xml:space="preserve">that are </w:t>
      </w:r>
      <w:r w:rsidRPr="003665D6">
        <w:t>not specifically listed on the table (20.6% vs. the national average of 2.5%).</w:t>
      </w:r>
    </w:p>
    <w:p w:rsidR="0070160C" w:rsidRPr="003665D6" w:rsidRDefault="0070160C" w:rsidP="00023F9A">
      <w:pPr>
        <w:numPr>
          <w:ilvl w:val="0"/>
          <w:numId w:val="14"/>
        </w:numPr>
      </w:pPr>
      <w:r w:rsidRPr="003665D6">
        <w:t xml:space="preserve">Compared with the national average of 23.7%, wages and salaries make up a notably large share of the income of unattached working-age poor people </w:t>
      </w:r>
      <w:r w:rsidR="00CD001E">
        <w:t xml:space="preserve">with disabilities </w:t>
      </w:r>
      <w:r w:rsidRPr="003665D6">
        <w:t xml:space="preserve">in multi-person households (59.9%) and among </w:t>
      </w:r>
      <w:r w:rsidR="00CD001E">
        <w:t xml:space="preserve">poor people with disabilities in </w:t>
      </w:r>
      <w:r w:rsidRPr="003665D6">
        <w:t>coup</w:t>
      </w:r>
      <w:r w:rsidR="00023F9A" w:rsidRPr="003665D6">
        <w:t>l</w:t>
      </w:r>
      <w:r w:rsidRPr="003665D6">
        <w:t xml:space="preserve">es with no children (32.7%). Wages and salaries make up a notably lower share among </w:t>
      </w:r>
      <w:r w:rsidR="003F3475">
        <w:t xml:space="preserve">poor </w:t>
      </w:r>
      <w:r w:rsidRPr="003665D6">
        <w:t>female lone parents</w:t>
      </w:r>
      <w:r w:rsidR="00D754A4">
        <w:t xml:space="preserve"> with disabilities</w:t>
      </w:r>
      <w:r w:rsidRPr="003665D6">
        <w:t xml:space="preserve"> (9.5%) and unattached </w:t>
      </w:r>
      <w:r w:rsidR="003F3475">
        <w:t xml:space="preserve">poor </w:t>
      </w:r>
      <w:r w:rsidRPr="003665D6">
        <w:t xml:space="preserve">people </w:t>
      </w:r>
      <w:r w:rsidR="00D754A4">
        <w:t xml:space="preserve">with disabilities who are </w:t>
      </w:r>
      <w:r w:rsidRPr="003665D6">
        <w:t>living alone (14.4%).</w:t>
      </w:r>
    </w:p>
    <w:p w:rsidR="00023F9A" w:rsidRPr="003665D6" w:rsidRDefault="00023F9A" w:rsidP="00023F9A">
      <w:pPr>
        <w:numPr>
          <w:ilvl w:val="0"/>
          <w:numId w:val="14"/>
        </w:numPr>
      </w:pPr>
      <w:r w:rsidRPr="003665D6">
        <w:t xml:space="preserve">Private pensions make up very little of the income of working-age poor people with disabilities (1.3%) but a considerably greater than typical share among unattached </w:t>
      </w:r>
      <w:r w:rsidR="00D754A4">
        <w:t xml:space="preserve">poor </w:t>
      </w:r>
      <w:r w:rsidRPr="003665D6">
        <w:t xml:space="preserve">individuals </w:t>
      </w:r>
      <w:r w:rsidR="00D754A4">
        <w:t xml:space="preserve">with disabilities who are </w:t>
      </w:r>
      <w:r w:rsidRPr="003665D6">
        <w:t>living in multi-person households (5.2%).</w:t>
      </w:r>
    </w:p>
    <w:p w:rsidR="00E73889" w:rsidRPr="003665D6" w:rsidRDefault="00E2421F" w:rsidP="00023F9A">
      <w:pPr>
        <w:numPr>
          <w:ilvl w:val="0"/>
          <w:numId w:val="14"/>
        </w:numPr>
      </w:pPr>
      <w:r w:rsidRPr="003665D6">
        <w:t xml:space="preserve">The investments </w:t>
      </w:r>
      <w:r w:rsidR="00E73889" w:rsidRPr="003665D6">
        <w:t xml:space="preserve">of unattached </w:t>
      </w:r>
      <w:r w:rsidR="00CC2857" w:rsidRPr="003665D6">
        <w:t xml:space="preserve">poor </w:t>
      </w:r>
      <w:r w:rsidR="00E73889" w:rsidRPr="003665D6">
        <w:t xml:space="preserve">people </w:t>
      </w:r>
      <w:r w:rsidR="00D754A4">
        <w:t xml:space="preserve">with disabilities who are </w:t>
      </w:r>
      <w:r w:rsidR="00E73889" w:rsidRPr="003665D6">
        <w:t xml:space="preserve">living alone </w:t>
      </w:r>
      <w:r w:rsidR="005C1128" w:rsidRPr="003665D6">
        <w:t>make up</w:t>
      </w:r>
      <w:r w:rsidR="00E73889" w:rsidRPr="003665D6">
        <w:t xml:space="preserve"> a greater share of income than </w:t>
      </w:r>
      <w:r w:rsidR="00D754A4">
        <w:t>poor people with disabilities’ incomes</w:t>
      </w:r>
      <w:r w:rsidR="00E73889" w:rsidRPr="003665D6">
        <w:t xml:space="preserve"> </w:t>
      </w:r>
      <w:r w:rsidR="00C1773E">
        <w:t>overall</w:t>
      </w:r>
      <w:r w:rsidR="00E73889" w:rsidRPr="003665D6">
        <w:t xml:space="preserve"> (3.4% vs. 2.2%). Investment income makes up a lower </w:t>
      </w:r>
      <w:r w:rsidRPr="003665D6">
        <w:t xml:space="preserve">than typical </w:t>
      </w:r>
      <w:r w:rsidR="00E73889" w:rsidRPr="003665D6">
        <w:t xml:space="preserve">share among unattached </w:t>
      </w:r>
      <w:r w:rsidR="00EB7DAF">
        <w:t xml:space="preserve">poor </w:t>
      </w:r>
      <w:r w:rsidR="00E73889" w:rsidRPr="003665D6">
        <w:t xml:space="preserve">people </w:t>
      </w:r>
      <w:r w:rsidR="00D754A4">
        <w:t xml:space="preserve">with disabilities who are </w:t>
      </w:r>
      <w:r w:rsidR="00E73889" w:rsidRPr="003665D6">
        <w:t>living with others (0.7%)</w:t>
      </w:r>
      <w:r w:rsidR="005C1128" w:rsidRPr="003665D6">
        <w:t xml:space="preserve"> and </w:t>
      </w:r>
      <w:r w:rsidR="00D754A4">
        <w:t xml:space="preserve">among </w:t>
      </w:r>
      <w:r w:rsidR="00EB7DAF">
        <w:t xml:space="preserve">poor </w:t>
      </w:r>
      <w:r w:rsidR="005C1128" w:rsidRPr="003665D6">
        <w:t xml:space="preserve">female lone parents </w:t>
      </w:r>
      <w:r w:rsidR="00D754A4">
        <w:t xml:space="preserve">with disabilities </w:t>
      </w:r>
      <w:r w:rsidR="005C1128" w:rsidRPr="003665D6">
        <w:t>(0.3%)</w:t>
      </w:r>
      <w:r w:rsidR="00E73889" w:rsidRPr="003665D6">
        <w:t>.</w:t>
      </w:r>
    </w:p>
    <w:p w:rsidR="00E73889" w:rsidRPr="003665D6" w:rsidRDefault="005C1128" w:rsidP="00023F9A">
      <w:pPr>
        <w:numPr>
          <w:ilvl w:val="0"/>
          <w:numId w:val="14"/>
        </w:numPr>
      </w:pPr>
      <w:r w:rsidRPr="003665D6">
        <w:t xml:space="preserve">Spousal and child support makes up a relatively higher share of the </w:t>
      </w:r>
      <w:r w:rsidR="00C1773E">
        <w:t xml:space="preserve">total </w:t>
      </w:r>
      <w:r w:rsidRPr="003665D6">
        <w:t xml:space="preserve">income of </w:t>
      </w:r>
      <w:r w:rsidR="00CB75DE" w:rsidRPr="003665D6">
        <w:t xml:space="preserve">disabled and poor </w:t>
      </w:r>
      <w:r w:rsidRPr="003665D6">
        <w:t>female lone parents (5.6% vs. 1.0% overall).</w:t>
      </w:r>
    </w:p>
    <w:p w:rsidR="00CB75DE" w:rsidRPr="003665D6" w:rsidRDefault="005517C5" w:rsidP="00023F9A">
      <w:pPr>
        <w:numPr>
          <w:ilvl w:val="0"/>
          <w:numId w:val="14"/>
        </w:numPr>
      </w:pPr>
      <w:r w:rsidRPr="003665D6">
        <w:t xml:space="preserve">Child benefits also make up a relatively higher share of the income of disabled and poor female lone parents (28.8% vs. 9.0% overall) and among </w:t>
      </w:r>
      <w:r w:rsidR="00C1773E">
        <w:t xml:space="preserve">poor people with disabilities in </w:t>
      </w:r>
      <w:r w:rsidRPr="003665D6">
        <w:t xml:space="preserve">couples with children (30.5%). </w:t>
      </w:r>
      <w:r w:rsidR="00EB7DAF">
        <w:t>To be expected, c</w:t>
      </w:r>
      <w:r w:rsidRPr="003665D6">
        <w:t xml:space="preserve">hild benefits make up none or very little of the income of </w:t>
      </w:r>
      <w:r w:rsidR="00E97F2B">
        <w:t xml:space="preserve">working-age </w:t>
      </w:r>
      <w:r w:rsidRPr="003665D6">
        <w:t xml:space="preserve">disabled </w:t>
      </w:r>
      <w:r w:rsidR="00CC2857" w:rsidRPr="003665D6">
        <w:t xml:space="preserve">poor </w:t>
      </w:r>
      <w:r w:rsidRPr="003665D6">
        <w:t>people who have no children (i.e., unattached people living alone or with others, couples with no children).</w:t>
      </w:r>
    </w:p>
    <w:p w:rsidR="003F478B" w:rsidRPr="003665D6" w:rsidRDefault="003F478B" w:rsidP="00023F9A">
      <w:pPr>
        <w:numPr>
          <w:ilvl w:val="0"/>
          <w:numId w:val="14"/>
        </w:numPr>
      </w:pPr>
      <w:r w:rsidRPr="003665D6">
        <w:lastRenderedPageBreak/>
        <w:t xml:space="preserve">Compared with 8.9% overall, the C/QPP makes up a larger than typical share of the income of </w:t>
      </w:r>
      <w:r w:rsidR="004B1452" w:rsidRPr="003665D6">
        <w:t xml:space="preserve">disabled poor people </w:t>
      </w:r>
      <w:r w:rsidR="00E97F2B">
        <w:t>in</w:t>
      </w:r>
      <w:r w:rsidR="004B1452" w:rsidRPr="003665D6">
        <w:t xml:space="preserve"> </w:t>
      </w:r>
      <w:r w:rsidRPr="003665D6">
        <w:t xml:space="preserve">couples with no children (16.2%) and unattached people </w:t>
      </w:r>
      <w:r w:rsidR="00C1773E">
        <w:t xml:space="preserve">with disabilities </w:t>
      </w:r>
      <w:r w:rsidRPr="003665D6">
        <w:t>who live alone (15.2%).</w:t>
      </w:r>
      <w:r w:rsidR="00FC52E2" w:rsidRPr="003665D6">
        <w:t xml:space="preserve"> The C/QPP makes up a lower than typical share among disabled poor people </w:t>
      </w:r>
      <w:r w:rsidR="00EB7DAF">
        <w:t xml:space="preserve">with disabilities </w:t>
      </w:r>
      <w:r w:rsidR="00FC52E2" w:rsidRPr="003665D6">
        <w:t xml:space="preserve">living in multi-person households (4.6%), </w:t>
      </w:r>
      <w:r w:rsidR="004B1452" w:rsidRPr="003665D6">
        <w:t xml:space="preserve">among </w:t>
      </w:r>
      <w:r w:rsidR="00C1773E">
        <w:t xml:space="preserve">poor people with disabilities in </w:t>
      </w:r>
      <w:r w:rsidR="00FC52E2" w:rsidRPr="003665D6">
        <w:t xml:space="preserve">couples with children (1.5%) and </w:t>
      </w:r>
      <w:r w:rsidR="004B1452" w:rsidRPr="003665D6">
        <w:t>among</w:t>
      </w:r>
      <w:r w:rsidR="00FC52E2" w:rsidRPr="003665D6">
        <w:t xml:space="preserve"> </w:t>
      </w:r>
      <w:r w:rsidR="00C1773E">
        <w:t xml:space="preserve">disabled and poor </w:t>
      </w:r>
      <w:r w:rsidR="00FC52E2" w:rsidRPr="003665D6">
        <w:t>female lone parents (1.7%).</w:t>
      </w:r>
    </w:p>
    <w:p w:rsidR="00FC52E2" w:rsidRPr="003665D6" w:rsidRDefault="00FC52E2" w:rsidP="00023F9A">
      <w:pPr>
        <w:numPr>
          <w:ilvl w:val="0"/>
          <w:numId w:val="14"/>
        </w:numPr>
      </w:pPr>
      <w:r w:rsidRPr="003665D6">
        <w:t xml:space="preserve">The OAS/GIS makes up very little of the income of working-age disabled poor people overall (0.7%) but 3.7% among </w:t>
      </w:r>
      <w:r w:rsidR="00C73505">
        <w:t xml:space="preserve">poor people with disabilities in </w:t>
      </w:r>
      <w:r w:rsidRPr="003665D6">
        <w:t>couples with no children.</w:t>
      </w:r>
    </w:p>
    <w:p w:rsidR="00E96798" w:rsidRPr="003665D6" w:rsidRDefault="000378D8" w:rsidP="00B27014">
      <w:pPr>
        <w:numPr>
          <w:ilvl w:val="0"/>
          <w:numId w:val="14"/>
        </w:numPr>
      </w:pPr>
      <w:r w:rsidRPr="003665D6">
        <w:t xml:space="preserve">While </w:t>
      </w:r>
      <w:r w:rsidR="00CC2857" w:rsidRPr="003665D6">
        <w:t>EI makes up 3.7% of the income of working-age disabled poor people overall, it makes up a higher share among</w:t>
      </w:r>
      <w:r w:rsidR="00C73505">
        <w:t xml:space="preserve"> poor</w:t>
      </w:r>
      <w:r w:rsidR="00CC2857" w:rsidRPr="003665D6">
        <w:t xml:space="preserve"> </w:t>
      </w:r>
      <w:r w:rsidR="00C73505">
        <w:t xml:space="preserve">people with disabilities in </w:t>
      </w:r>
      <w:r w:rsidR="00CC2857" w:rsidRPr="003665D6">
        <w:t>couples with children (6.3%)</w:t>
      </w:r>
      <w:r w:rsidR="002F7696" w:rsidRPr="003665D6">
        <w:t xml:space="preserve">, </w:t>
      </w:r>
      <w:r w:rsidR="00C73505">
        <w:t xml:space="preserve">disabled and poor </w:t>
      </w:r>
      <w:r w:rsidR="002F7696" w:rsidRPr="003665D6">
        <w:t xml:space="preserve">female lone parents (4.4%) </w:t>
      </w:r>
      <w:r w:rsidR="00CC2857" w:rsidRPr="003665D6">
        <w:t xml:space="preserve">and unattached </w:t>
      </w:r>
      <w:r w:rsidR="00C73505">
        <w:t xml:space="preserve">poor </w:t>
      </w:r>
      <w:r w:rsidR="00CC2857" w:rsidRPr="003665D6">
        <w:t xml:space="preserve">people </w:t>
      </w:r>
      <w:r w:rsidR="00C73505">
        <w:t xml:space="preserve">with disabilities </w:t>
      </w:r>
      <w:r w:rsidR="00CC2857" w:rsidRPr="003665D6">
        <w:t>who live alone (4.1%).</w:t>
      </w:r>
      <w:r w:rsidR="005715EB" w:rsidRPr="003665D6">
        <w:t xml:space="preserve"> It makes up </w:t>
      </w:r>
      <w:r w:rsidR="00E57ED2" w:rsidRPr="003665D6">
        <w:t>considerably less</w:t>
      </w:r>
      <w:r w:rsidR="005715EB" w:rsidRPr="003665D6">
        <w:t xml:space="preserve"> of the income of </w:t>
      </w:r>
      <w:r w:rsidR="00C73505">
        <w:t xml:space="preserve">poor people with disabilities in </w:t>
      </w:r>
      <w:r w:rsidR="005715EB" w:rsidRPr="003665D6">
        <w:t xml:space="preserve">couples with no children (1.3%) and unattached </w:t>
      </w:r>
      <w:r w:rsidR="00E57ED2" w:rsidRPr="003665D6">
        <w:t xml:space="preserve">disabled poor </w:t>
      </w:r>
      <w:r w:rsidR="005715EB" w:rsidRPr="003665D6">
        <w:t>people who live with others (2.5%).</w:t>
      </w:r>
    </w:p>
    <w:p w:rsidR="00E57ED2" w:rsidRPr="003665D6" w:rsidRDefault="00E57ED2" w:rsidP="00B27014">
      <w:pPr>
        <w:numPr>
          <w:ilvl w:val="0"/>
          <w:numId w:val="14"/>
        </w:numPr>
      </w:pPr>
      <w:r w:rsidRPr="003665D6">
        <w:t xml:space="preserve">Workers’ compensation </w:t>
      </w:r>
      <w:r w:rsidR="002F5DDE">
        <w:t xml:space="preserve">benefits </w:t>
      </w:r>
      <w:r w:rsidRPr="003665D6">
        <w:t xml:space="preserve">make up only 1.5% of the total income of working-age disabled poor people overall but 6% among </w:t>
      </w:r>
      <w:r w:rsidR="00C73505">
        <w:t xml:space="preserve">poor people with disabilities in </w:t>
      </w:r>
      <w:r w:rsidRPr="003665D6">
        <w:t>couples with no children.</w:t>
      </w:r>
    </w:p>
    <w:p w:rsidR="00BD2E2D" w:rsidRPr="003665D6" w:rsidRDefault="00BD2E2D" w:rsidP="000146E9">
      <w:pPr>
        <w:numPr>
          <w:ilvl w:val="0"/>
          <w:numId w:val="16"/>
        </w:numPr>
      </w:pPr>
      <w:r w:rsidRPr="003665D6">
        <w:t xml:space="preserve">Social assistance makes up more than a third of the income of working-age disabled poor people </w:t>
      </w:r>
      <w:r w:rsidR="0060462E" w:rsidRPr="003665D6">
        <w:t>overall (35.3%). It makes up</w:t>
      </w:r>
      <w:r w:rsidRPr="003665D6">
        <w:t xml:space="preserve"> a little more than that among </w:t>
      </w:r>
      <w:r w:rsidR="00C73505">
        <w:t xml:space="preserve">disabled and poor </w:t>
      </w:r>
      <w:r w:rsidRPr="003665D6">
        <w:t>female lone parents (39.6%) and considerably more among unattached</w:t>
      </w:r>
      <w:r w:rsidR="00C73505">
        <w:t xml:space="preserve"> poor</w:t>
      </w:r>
      <w:r w:rsidRPr="003665D6">
        <w:t xml:space="preserve"> people </w:t>
      </w:r>
      <w:r w:rsidR="00C73505">
        <w:t xml:space="preserve">with disabilities </w:t>
      </w:r>
      <w:r w:rsidR="00E97F2B">
        <w:t>who live alone (47.8</w:t>
      </w:r>
      <w:r w:rsidRPr="003665D6">
        <w:t>%). Social assistance makes up considerably less among working-age disabled poor people who are in couples with</w:t>
      </w:r>
      <w:r w:rsidR="0060462E" w:rsidRPr="003665D6">
        <w:t>out</w:t>
      </w:r>
      <w:r w:rsidRPr="003665D6">
        <w:t xml:space="preserve"> (25.7%)</w:t>
      </w:r>
      <w:r w:rsidR="00D07CEC" w:rsidRPr="003665D6">
        <w:t xml:space="preserve"> or with children (15.8%) or who are unattached and living with others (20.8%).</w:t>
      </w:r>
    </w:p>
    <w:p w:rsidR="001D7A33" w:rsidRPr="003665D6" w:rsidRDefault="001D7A33" w:rsidP="000146E9">
      <w:pPr>
        <w:numPr>
          <w:ilvl w:val="0"/>
          <w:numId w:val="16"/>
        </w:numPr>
      </w:pPr>
      <w:r w:rsidRPr="003665D6">
        <w:t xml:space="preserve">The Working Income Tax Benefit accounts for 1% of the income of working-age poor people with disabilities but 2.6% among </w:t>
      </w:r>
      <w:r w:rsidR="007071BD">
        <w:t xml:space="preserve">poor people with disabilities in </w:t>
      </w:r>
      <w:r w:rsidRPr="003665D6">
        <w:t>couples with no children.</w:t>
      </w:r>
    </w:p>
    <w:p w:rsidR="001D7A33" w:rsidRPr="003665D6" w:rsidRDefault="001D7A33" w:rsidP="000146E9">
      <w:pPr>
        <w:numPr>
          <w:ilvl w:val="0"/>
          <w:numId w:val="16"/>
        </w:numPr>
      </w:pPr>
      <w:r w:rsidRPr="003665D6">
        <w:t xml:space="preserve">GST/HST credits make up marginally more than the typical share of the income of working-age disabled poor people among female lone parents (3.9%) and </w:t>
      </w:r>
      <w:r w:rsidR="00201450">
        <w:t xml:space="preserve">poor people with disabilities in </w:t>
      </w:r>
      <w:r w:rsidRPr="003665D6">
        <w:t>couples with no children (3.5%) compared with 3.0% overall, and less</w:t>
      </w:r>
      <w:r w:rsidR="002124A6" w:rsidRPr="003665D6">
        <w:t xml:space="preserve"> among unattached </w:t>
      </w:r>
      <w:r w:rsidR="00201450">
        <w:t xml:space="preserve">poor </w:t>
      </w:r>
      <w:r w:rsidR="002124A6" w:rsidRPr="003665D6">
        <w:t xml:space="preserve">people </w:t>
      </w:r>
      <w:r w:rsidR="00201450">
        <w:t>with disabilities who live</w:t>
      </w:r>
      <w:r w:rsidR="002124A6" w:rsidRPr="003665D6">
        <w:t xml:space="preserve"> with others (1.7%).</w:t>
      </w:r>
    </w:p>
    <w:p w:rsidR="000146E9" w:rsidRDefault="00A75CEA" w:rsidP="000146E9">
      <w:pPr>
        <w:pStyle w:val="Heading3"/>
      </w:pPr>
      <w:bookmarkStart w:id="51" w:name="_Toc361342906"/>
      <w:r>
        <w:lastRenderedPageBreak/>
        <w:t>... Poor People</w:t>
      </w:r>
      <w:r w:rsidR="0013070B">
        <w:t xml:space="preserve"> w</w:t>
      </w:r>
      <w:r w:rsidR="000146E9">
        <w:t>ithout Disabilities</w:t>
      </w:r>
      <w:bookmarkEnd w:id="51"/>
    </w:p>
    <w:p w:rsidR="00C11268" w:rsidRPr="003665D6" w:rsidRDefault="00C11268" w:rsidP="00C11268">
      <w:r w:rsidRPr="003665D6">
        <w:t>The following discussion on the makeup of the total incomes of working-age poor people without disabilities</w:t>
      </w:r>
      <w:r w:rsidR="00E97F2B">
        <w:t xml:space="preserve"> draws</w:t>
      </w:r>
      <w:r w:rsidRPr="003665D6">
        <w:t xml:space="preserve"> from Appendix Table </w:t>
      </w:r>
      <w:r w:rsidR="001D17E8" w:rsidRPr="003665D6">
        <w:t>A2</w:t>
      </w:r>
      <w:r w:rsidRPr="003665D6">
        <w:t>b.</w:t>
      </w:r>
    </w:p>
    <w:p w:rsidR="00C11268" w:rsidRPr="003665D6" w:rsidRDefault="00C11268" w:rsidP="00C11268">
      <w:pPr>
        <w:numPr>
          <w:ilvl w:val="0"/>
          <w:numId w:val="15"/>
        </w:numPr>
      </w:pPr>
      <w:r w:rsidRPr="003665D6">
        <w:t>Compared with $11,940</w:t>
      </w:r>
      <w:r w:rsidR="00044198" w:rsidRPr="003665D6">
        <w:t xml:space="preserve"> </w:t>
      </w:r>
      <w:r w:rsidRPr="003665D6">
        <w:t xml:space="preserve">overall for working-age poor people without disabilities, unattached </w:t>
      </w:r>
      <w:r w:rsidR="00201450">
        <w:t xml:space="preserve">poor </w:t>
      </w:r>
      <w:r w:rsidRPr="003665D6">
        <w:t xml:space="preserve">people </w:t>
      </w:r>
      <w:r w:rsidR="00201450">
        <w:t>without disabilities who live</w:t>
      </w:r>
      <w:r w:rsidRPr="003665D6">
        <w:t xml:space="preserve"> with others have relatively high incomes ($</w:t>
      </w:r>
      <w:r w:rsidR="00044198" w:rsidRPr="003665D6">
        <w:t>26,616</w:t>
      </w:r>
      <w:r w:rsidRPr="003665D6">
        <w:t xml:space="preserve">) and </w:t>
      </w:r>
      <w:r w:rsidR="00201450">
        <w:t xml:space="preserve">non-disabled poor people in </w:t>
      </w:r>
      <w:r w:rsidRPr="003665D6">
        <w:t>couples with no children have very low incomes ($6,</w:t>
      </w:r>
      <w:r w:rsidR="00044198" w:rsidRPr="003665D6">
        <w:t>154</w:t>
      </w:r>
      <w:r w:rsidRPr="003665D6">
        <w:t xml:space="preserve">). </w:t>
      </w:r>
    </w:p>
    <w:p w:rsidR="00C11268" w:rsidRPr="003665D6" w:rsidRDefault="00C11268" w:rsidP="00C11268">
      <w:pPr>
        <w:numPr>
          <w:ilvl w:val="0"/>
          <w:numId w:val="15"/>
        </w:numPr>
      </w:pPr>
      <w:r w:rsidRPr="003665D6">
        <w:t xml:space="preserve">Compared with </w:t>
      </w:r>
      <w:r w:rsidR="00044198" w:rsidRPr="003665D6">
        <w:t>28.6</w:t>
      </w:r>
      <w:r w:rsidRPr="003665D6">
        <w:t xml:space="preserve">% overall, </w:t>
      </w:r>
      <w:r w:rsidR="00044198" w:rsidRPr="003665D6">
        <w:t>non-</w:t>
      </w:r>
      <w:r w:rsidRPr="003665D6">
        <w:t xml:space="preserve">disabled </w:t>
      </w:r>
      <w:r w:rsidR="00EB7DAF">
        <w:t xml:space="preserve">poor </w:t>
      </w:r>
      <w:r w:rsidRPr="003665D6">
        <w:t xml:space="preserve">female lone parents have </w:t>
      </w:r>
      <w:r w:rsidR="00EB7DAF">
        <w:t>a high</w:t>
      </w:r>
      <w:r w:rsidRPr="003665D6">
        <w:t xml:space="preserve"> share of income from government transfers (</w:t>
      </w:r>
      <w:r w:rsidR="00044198" w:rsidRPr="003665D6">
        <w:t>74.2</w:t>
      </w:r>
      <w:r w:rsidRPr="003665D6">
        <w:t xml:space="preserve">%) followed next by unattached </w:t>
      </w:r>
      <w:r w:rsidR="00387DC8">
        <w:t xml:space="preserve">poor people without disabilities in </w:t>
      </w:r>
      <w:r w:rsidR="00044198" w:rsidRPr="003665D6">
        <w:t>couples with children</w:t>
      </w:r>
      <w:r w:rsidRPr="003665D6">
        <w:t xml:space="preserve"> (</w:t>
      </w:r>
      <w:r w:rsidR="00044198" w:rsidRPr="003665D6">
        <w:t>52.3</w:t>
      </w:r>
      <w:r w:rsidRPr="003665D6">
        <w:t>%)</w:t>
      </w:r>
      <w:r w:rsidR="006E1D6B" w:rsidRPr="003665D6">
        <w:t xml:space="preserve"> and unattached </w:t>
      </w:r>
      <w:r w:rsidR="00387DC8">
        <w:t xml:space="preserve">non-disabled poor </w:t>
      </w:r>
      <w:r w:rsidR="006E1D6B" w:rsidRPr="003665D6">
        <w:t>people who live alone (32.8%)</w:t>
      </w:r>
      <w:r w:rsidRPr="003665D6">
        <w:t xml:space="preserve">. Unattached poor individuals </w:t>
      </w:r>
      <w:r w:rsidR="00043E40" w:rsidRPr="003665D6">
        <w:t xml:space="preserve">without disabilities </w:t>
      </w:r>
      <w:r w:rsidRPr="003665D6">
        <w:t>who live with others in multi-person households have the lowest overall share of transfer income (</w:t>
      </w:r>
      <w:r w:rsidR="00043E40" w:rsidRPr="003665D6">
        <w:t>5.0</w:t>
      </w:r>
      <w:r w:rsidRPr="003665D6">
        <w:t>%)</w:t>
      </w:r>
      <w:r w:rsidR="00EB7DAF">
        <w:t xml:space="preserve"> compared with </w:t>
      </w:r>
      <w:r w:rsidR="00447532">
        <w:t xml:space="preserve">non-disabled poor </w:t>
      </w:r>
      <w:r w:rsidR="00EB7DAF">
        <w:t>people in other living arrangements</w:t>
      </w:r>
      <w:r w:rsidRPr="003665D6">
        <w:t>.</w:t>
      </w:r>
    </w:p>
    <w:p w:rsidR="00C11268" w:rsidRPr="003665D6" w:rsidRDefault="00C11268" w:rsidP="00C11268">
      <w:pPr>
        <w:numPr>
          <w:ilvl w:val="0"/>
          <w:numId w:val="14"/>
        </w:numPr>
      </w:pPr>
      <w:r w:rsidRPr="003665D6">
        <w:t xml:space="preserve">Self-employment income makes up a higher than typical share of total income among </w:t>
      </w:r>
      <w:r w:rsidR="00043E40" w:rsidRPr="003665D6">
        <w:t xml:space="preserve">unattached </w:t>
      </w:r>
      <w:r w:rsidR="00E97F2B">
        <w:t xml:space="preserve">non-disabled </w:t>
      </w:r>
      <w:r w:rsidR="00387DC8">
        <w:t xml:space="preserve">poor </w:t>
      </w:r>
      <w:r w:rsidR="00043E40" w:rsidRPr="003665D6">
        <w:t>people living alone</w:t>
      </w:r>
      <w:r w:rsidRPr="003665D6">
        <w:t xml:space="preserve"> (</w:t>
      </w:r>
      <w:r w:rsidR="00043E40" w:rsidRPr="003665D6">
        <w:t>11.8</w:t>
      </w:r>
      <w:r w:rsidRPr="003665D6">
        <w:t xml:space="preserve">% vs. the national average of </w:t>
      </w:r>
      <w:r w:rsidR="00043E40" w:rsidRPr="003665D6">
        <w:t>5.1</w:t>
      </w:r>
      <w:r w:rsidRPr="003665D6">
        <w:t>%</w:t>
      </w:r>
      <w:r w:rsidR="00387DC8">
        <w:t xml:space="preserve"> among non-disabled poor people</w:t>
      </w:r>
      <w:r w:rsidRPr="003665D6">
        <w:t>).</w:t>
      </w:r>
    </w:p>
    <w:p w:rsidR="00C11268" w:rsidRPr="003665D6" w:rsidRDefault="00C11268" w:rsidP="00C11268">
      <w:pPr>
        <w:numPr>
          <w:ilvl w:val="0"/>
          <w:numId w:val="14"/>
        </w:numPr>
      </w:pPr>
      <w:r w:rsidRPr="003665D6">
        <w:t xml:space="preserve">Compared with the national average of </w:t>
      </w:r>
      <w:r w:rsidR="00A05A36" w:rsidRPr="003665D6">
        <w:t>59.9%</w:t>
      </w:r>
      <w:r w:rsidR="00611090">
        <w:t xml:space="preserve"> among non-disabled poor people</w:t>
      </w:r>
      <w:r w:rsidRPr="003665D6">
        <w:t xml:space="preserve">, wages and salaries make up a notably large share of the income of unattached working-age poor people </w:t>
      </w:r>
      <w:r w:rsidR="00A05A36" w:rsidRPr="003665D6">
        <w:t xml:space="preserve">without disabilities </w:t>
      </w:r>
      <w:r w:rsidRPr="003665D6">
        <w:t>in multi-person households</w:t>
      </w:r>
      <w:r w:rsidR="00BB3E53" w:rsidRPr="003665D6">
        <w:t xml:space="preserve"> (91.4%)</w:t>
      </w:r>
      <w:r w:rsidRPr="003665D6">
        <w:t>. Wages and salaries make up a notably lower sh</w:t>
      </w:r>
      <w:r w:rsidR="00A05A36" w:rsidRPr="003665D6">
        <w:t>are of total income among poor non-disabled female lone parents (20.8</w:t>
      </w:r>
      <w:r w:rsidRPr="003665D6">
        <w:t>%)</w:t>
      </w:r>
      <w:r w:rsidR="00A05A36" w:rsidRPr="003665D6">
        <w:t xml:space="preserve">, </w:t>
      </w:r>
      <w:r w:rsidR="00611090">
        <w:t xml:space="preserve">poor non-disabled people in </w:t>
      </w:r>
      <w:r w:rsidR="00BB3E53" w:rsidRPr="003665D6">
        <w:t>couples with children (33.1%)</w:t>
      </w:r>
      <w:r w:rsidR="00611090">
        <w:t xml:space="preserve"> and </w:t>
      </w:r>
      <w:r w:rsidR="00A05A36" w:rsidRPr="003665D6">
        <w:t>with no children (44.2%)</w:t>
      </w:r>
      <w:r w:rsidRPr="003665D6">
        <w:t xml:space="preserve"> and unattached </w:t>
      </w:r>
      <w:r w:rsidR="00447532">
        <w:t xml:space="preserve">non-disabled poor people </w:t>
      </w:r>
      <w:r w:rsidR="00611090">
        <w:t>who live</w:t>
      </w:r>
      <w:r w:rsidRPr="003665D6">
        <w:t xml:space="preserve"> alone (</w:t>
      </w:r>
      <w:r w:rsidR="00A05A36" w:rsidRPr="003665D6">
        <w:t>46.7%</w:t>
      </w:r>
      <w:r w:rsidRPr="003665D6">
        <w:t>).</w:t>
      </w:r>
    </w:p>
    <w:p w:rsidR="00C11268" w:rsidRPr="003665D6" w:rsidRDefault="00C11268" w:rsidP="00C11268">
      <w:pPr>
        <w:numPr>
          <w:ilvl w:val="0"/>
          <w:numId w:val="14"/>
        </w:numPr>
      </w:pPr>
      <w:r w:rsidRPr="003665D6">
        <w:t>Private pensions make up very little of the income of working-age poor people without disabilities (</w:t>
      </w:r>
      <w:r w:rsidR="00A05A36" w:rsidRPr="003665D6">
        <w:t>0.7</w:t>
      </w:r>
      <w:r w:rsidRPr="003665D6">
        <w:t>%) but a considerably greater than typical share among unattached</w:t>
      </w:r>
      <w:r w:rsidR="00447532">
        <w:t xml:space="preserve"> poor</w:t>
      </w:r>
      <w:r w:rsidRPr="003665D6">
        <w:t xml:space="preserve"> individuals </w:t>
      </w:r>
      <w:r w:rsidR="00611090">
        <w:t>without disabilities who live</w:t>
      </w:r>
      <w:r w:rsidRPr="003665D6">
        <w:t xml:space="preserve"> </w:t>
      </w:r>
      <w:r w:rsidR="002B749C" w:rsidRPr="003665D6">
        <w:t xml:space="preserve">alone </w:t>
      </w:r>
      <w:r w:rsidRPr="003665D6">
        <w:t>(</w:t>
      </w:r>
      <w:r w:rsidR="002B749C" w:rsidRPr="003665D6">
        <w:t>3.0</w:t>
      </w:r>
      <w:r w:rsidRPr="003665D6">
        <w:t>%).</w:t>
      </w:r>
    </w:p>
    <w:p w:rsidR="00C11268" w:rsidRPr="003665D6" w:rsidRDefault="00C11268" w:rsidP="00C11268">
      <w:pPr>
        <w:numPr>
          <w:ilvl w:val="0"/>
          <w:numId w:val="14"/>
        </w:numPr>
      </w:pPr>
      <w:r w:rsidRPr="003665D6">
        <w:t xml:space="preserve">The investments of unattached </w:t>
      </w:r>
      <w:r w:rsidR="00044198" w:rsidRPr="003665D6">
        <w:t>non-disabled</w:t>
      </w:r>
      <w:r w:rsidRPr="003665D6">
        <w:t xml:space="preserve"> poor </w:t>
      </w:r>
      <w:r w:rsidR="00447532">
        <w:t xml:space="preserve">people in </w:t>
      </w:r>
      <w:r w:rsidR="002B749C" w:rsidRPr="003665D6">
        <w:t>couples with no children</w:t>
      </w:r>
      <w:r w:rsidRPr="003665D6">
        <w:t xml:space="preserve"> make up a greater share of income than others’ on average (</w:t>
      </w:r>
      <w:r w:rsidR="002B749C" w:rsidRPr="003665D6">
        <w:t>15.0</w:t>
      </w:r>
      <w:r w:rsidRPr="003665D6">
        <w:t xml:space="preserve">% vs. </w:t>
      </w:r>
      <w:r w:rsidR="002B749C" w:rsidRPr="003665D6">
        <w:t>3.5</w:t>
      </w:r>
      <w:r w:rsidRPr="003665D6">
        <w:t xml:space="preserve">% overall). Investment income makes up a lower than typical share among unattached </w:t>
      </w:r>
      <w:r w:rsidR="00611090">
        <w:t xml:space="preserve">poor </w:t>
      </w:r>
      <w:r w:rsidRPr="003665D6">
        <w:t>people</w:t>
      </w:r>
      <w:r w:rsidR="00611090">
        <w:t xml:space="preserve"> without disabilities who live</w:t>
      </w:r>
      <w:r w:rsidRPr="003665D6">
        <w:t xml:space="preserve"> with others (0.7%) and </w:t>
      </w:r>
      <w:r w:rsidR="00611090">
        <w:t xml:space="preserve">among non-disabled poor </w:t>
      </w:r>
      <w:r w:rsidRPr="003665D6">
        <w:t>female lone parents (0.</w:t>
      </w:r>
      <w:r w:rsidR="002B749C" w:rsidRPr="003665D6">
        <w:t>7</w:t>
      </w:r>
      <w:r w:rsidRPr="003665D6">
        <w:t>%).</w:t>
      </w:r>
    </w:p>
    <w:p w:rsidR="00C11268" w:rsidRPr="003665D6" w:rsidRDefault="00C11268" w:rsidP="00C11268">
      <w:pPr>
        <w:numPr>
          <w:ilvl w:val="0"/>
          <w:numId w:val="14"/>
        </w:numPr>
      </w:pPr>
      <w:r w:rsidRPr="003665D6">
        <w:t xml:space="preserve">Spousal and child support makes up a relatively higher share of the income of </w:t>
      </w:r>
      <w:r w:rsidR="00044198" w:rsidRPr="003665D6">
        <w:t>non-disabled</w:t>
      </w:r>
      <w:r w:rsidRPr="003665D6">
        <w:t xml:space="preserve"> poor </w:t>
      </w:r>
      <w:r w:rsidR="003B3E89" w:rsidRPr="003665D6">
        <w:t xml:space="preserve">female lone parents at </w:t>
      </w:r>
      <w:r w:rsidR="002B749C" w:rsidRPr="003665D6">
        <w:t>2.4</w:t>
      </w:r>
      <w:r w:rsidRPr="003665D6">
        <w:t xml:space="preserve">% vs. </w:t>
      </w:r>
      <w:r w:rsidR="002B749C" w:rsidRPr="003665D6">
        <w:t>0.3</w:t>
      </w:r>
      <w:r w:rsidRPr="003665D6">
        <w:t>% overall.</w:t>
      </w:r>
    </w:p>
    <w:p w:rsidR="00C11268" w:rsidRPr="003665D6" w:rsidRDefault="00C11268" w:rsidP="00C11268">
      <w:pPr>
        <w:numPr>
          <w:ilvl w:val="0"/>
          <w:numId w:val="14"/>
        </w:numPr>
      </w:pPr>
      <w:r w:rsidRPr="003665D6">
        <w:lastRenderedPageBreak/>
        <w:t xml:space="preserve">Child benefits also make up a relatively higher share of the income of </w:t>
      </w:r>
      <w:r w:rsidR="00044198" w:rsidRPr="003665D6">
        <w:t>non-disabled</w:t>
      </w:r>
      <w:r w:rsidRPr="003665D6">
        <w:t xml:space="preserve"> and poor female lone parents (</w:t>
      </w:r>
      <w:r w:rsidR="003B3E89" w:rsidRPr="003665D6">
        <w:t>36.5</w:t>
      </w:r>
      <w:r w:rsidRPr="003665D6">
        <w:t>% vs. 9.</w:t>
      </w:r>
      <w:r w:rsidR="003B3E89" w:rsidRPr="003665D6">
        <w:t>8</w:t>
      </w:r>
      <w:r w:rsidRPr="003665D6">
        <w:t xml:space="preserve">% overall) and among </w:t>
      </w:r>
      <w:r w:rsidR="00611090">
        <w:t xml:space="preserve">non-disabled poor people in </w:t>
      </w:r>
      <w:r w:rsidRPr="003665D6">
        <w:t>couples with children (</w:t>
      </w:r>
      <w:r w:rsidR="003B3E89" w:rsidRPr="003665D6">
        <w:t>29.2</w:t>
      </w:r>
      <w:r w:rsidRPr="003665D6">
        <w:t xml:space="preserve">%). </w:t>
      </w:r>
      <w:r w:rsidR="00447532">
        <w:t>Not surprisingly, c</w:t>
      </w:r>
      <w:r w:rsidRPr="003665D6">
        <w:t xml:space="preserve">hild benefits make up none of the income of </w:t>
      </w:r>
      <w:r w:rsidR="00044198" w:rsidRPr="003665D6">
        <w:t>non-disabled</w:t>
      </w:r>
      <w:r w:rsidRPr="003665D6">
        <w:t xml:space="preserve"> poor people who have no children (i.e., unattached people living alone or with others, couples with no children).</w:t>
      </w:r>
    </w:p>
    <w:p w:rsidR="00C11268" w:rsidRPr="003665D6" w:rsidRDefault="00C11268" w:rsidP="00C11268">
      <w:pPr>
        <w:numPr>
          <w:ilvl w:val="0"/>
          <w:numId w:val="14"/>
        </w:numPr>
      </w:pPr>
      <w:r w:rsidRPr="003665D6">
        <w:t xml:space="preserve">Compared with </w:t>
      </w:r>
      <w:r w:rsidR="003B3E89" w:rsidRPr="003665D6">
        <w:t>1.3</w:t>
      </w:r>
      <w:r w:rsidRPr="003665D6">
        <w:t xml:space="preserve">% overall, the C/QPP makes up a larger than typical share of the income of </w:t>
      </w:r>
      <w:r w:rsidR="00044198" w:rsidRPr="003665D6">
        <w:t>non-disabled</w:t>
      </w:r>
      <w:r w:rsidRPr="003665D6">
        <w:t xml:space="preserve"> and poor</w:t>
      </w:r>
      <w:r w:rsidR="003B3E89" w:rsidRPr="003665D6">
        <w:t xml:space="preserve"> unat</w:t>
      </w:r>
      <w:r w:rsidR="0055008B" w:rsidRPr="003665D6">
        <w:t>tached people who live alone (4.</w:t>
      </w:r>
      <w:r w:rsidR="003B3E89" w:rsidRPr="003665D6">
        <w:t>2%),</w:t>
      </w:r>
      <w:r w:rsidRPr="003665D6">
        <w:t xml:space="preserve"> among </w:t>
      </w:r>
      <w:r w:rsidR="00611090">
        <w:t xml:space="preserve">non-disabled poor people in </w:t>
      </w:r>
      <w:r w:rsidRPr="003665D6">
        <w:t>couples with no children (</w:t>
      </w:r>
      <w:r w:rsidR="003B3E89" w:rsidRPr="003665D6">
        <w:t>3.6</w:t>
      </w:r>
      <w:r w:rsidRPr="003665D6">
        <w:t>%) and</w:t>
      </w:r>
      <w:r w:rsidR="003B3E89" w:rsidRPr="003665D6">
        <w:t xml:space="preserve"> among various ‘other’ </w:t>
      </w:r>
      <w:r w:rsidR="00692421">
        <w:t xml:space="preserve">non-disabled and poor </w:t>
      </w:r>
      <w:r w:rsidR="003B3E89" w:rsidRPr="003665D6">
        <w:t xml:space="preserve">family members not listed in detail on </w:t>
      </w:r>
      <w:r w:rsidR="00E97F2B">
        <w:t>Appendix Table A2</w:t>
      </w:r>
      <w:r w:rsidR="003B3E89" w:rsidRPr="003665D6">
        <w:t>b (2.5%)</w:t>
      </w:r>
      <w:r w:rsidRPr="003665D6">
        <w:t xml:space="preserve">. The C/QPP makes up a lower than typical share among </w:t>
      </w:r>
      <w:r w:rsidR="00044198" w:rsidRPr="003665D6">
        <w:t>non-disabled</w:t>
      </w:r>
      <w:r w:rsidRPr="003665D6">
        <w:t xml:space="preserve"> poor people living in multi-person households (</w:t>
      </w:r>
      <w:r w:rsidR="006C18A2" w:rsidRPr="003665D6">
        <w:t>0.2</w:t>
      </w:r>
      <w:r w:rsidRPr="003665D6">
        <w:t xml:space="preserve">%), among </w:t>
      </w:r>
      <w:r w:rsidR="00692421">
        <w:t xml:space="preserve">non-disabled poor people in </w:t>
      </w:r>
      <w:r w:rsidRPr="003665D6">
        <w:t>couples with children (</w:t>
      </w:r>
      <w:r w:rsidR="006C18A2" w:rsidRPr="003665D6">
        <w:t>0.1</w:t>
      </w:r>
      <w:r w:rsidRPr="003665D6">
        <w:t xml:space="preserve">%) and among </w:t>
      </w:r>
      <w:r w:rsidR="00692421">
        <w:t xml:space="preserve">non-disabled poor </w:t>
      </w:r>
      <w:r w:rsidRPr="003665D6">
        <w:t>female lone parents (</w:t>
      </w:r>
      <w:r w:rsidR="006C18A2" w:rsidRPr="003665D6">
        <w:t>0.3</w:t>
      </w:r>
      <w:r w:rsidRPr="003665D6">
        <w:t>%).</w:t>
      </w:r>
    </w:p>
    <w:p w:rsidR="00C11268" w:rsidRPr="003665D6" w:rsidRDefault="00C11268" w:rsidP="00C11268">
      <w:pPr>
        <w:numPr>
          <w:ilvl w:val="0"/>
          <w:numId w:val="14"/>
        </w:numPr>
      </w:pPr>
      <w:r w:rsidRPr="003665D6">
        <w:t xml:space="preserve">The OAS/GIS makes up </w:t>
      </w:r>
      <w:r w:rsidR="006C18A2" w:rsidRPr="003665D6">
        <w:t>very little</w:t>
      </w:r>
      <w:r w:rsidRPr="003665D6">
        <w:t xml:space="preserve"> of the income of working-age </w:t>
      </w:r>
      <w:r w:rsidR="00044198" w:rsidRPr="003665D6">
        <w:t>non-disabled</w:t>
      </w:r>
      <w:r w:rsidR="006C18A2" w:rsidRPr="003665D6">
        <w:t xml:space="preserve"> poor people (0.2</w:t>
      </w:r>
      <w:r w:rsidRPr="003665D6">
        <w:t>%</w:t>
      </w:r>
      <w:r w:rsidR="006C18A2" w:rsidRPr="003665D6">
        <w:t xml:space="preserve"> overall and less than 1.0% for </w:t>
      </w:r>
      <w:r w:rsidR="008A3DEA" w:rsidRPr="003665D6">
        <w:t xml:space="preserve">people in any of the </w:t>
      </w:r>
      <w:r w:rsidR="006C18A2" w:rsidRPr="003665D6">
        <w:t>living arrangement</w:t>
      </w:r>
      <w:r w:rsidR="008A3DEA" w:rsidRPr="003665D6">
        <w:t>s</w:t>
      </w:r>
      <w:r w:rsidR="006C18A2" w:rsidRPr="003665D6">
        <w:t xml:space="preserve"> shown on </w:t>
      </w:r>
      <w:r w:rsidR="00692421">
        <w:t>Table A2b</w:t>
      </w:r>
      <w:r w:rsidRPr="003665D6">
        <w:t>).</w:t>
      </w:r>
    </w:p>
    <w:p w:rsidR="00C11268" w:rsidRPr="003665D6" w:rsidRDefault="00C11268" w:rsidP="00C11268">
      <w:pPr>
        <w:numPr>
          <w:ilvl w:val="0"/>
          <w:numId w:val="14"/>
        </w:numPr>
      </w:pPr>
      <w:r w:rsidRPr="003665D6">
        <w:t xml:space="preserve">While EI makes up </w:t>
      </w:r>
      <w:r w:rsidR="008A3DEA" w:rsidRPr="003665D6">
        <w:t>4.5</w:t>
      </w:r>
      <w:r w:rsidRPr="003665D6">
        <w:t xml:space="preserve">% of the income of working-age </w:t>
      </w:r>
      <w:r w:rsidR="00044198" w:rsidRPr="003665D6">
        <w:t>non-disabled</w:t>
      </w:r>
      <w:r w:rsidRPr="003665D6">
        <w:t xml:space="preserve"> poor people overall, it makes up a higher share </w:t>
      </w:r>
      <w:r w:rsidR="008A3DEA" w:rsidRPr="003665D6">
        <w:t xml:space="preserve">among unattached </w:t>
      </w:r>
      <w:r w:rsidR="00790E51">
        <w:t xml:space="preserve">poor </w:t>
      </w:r>
      <w:r w:rsidR="008A3DEA" w:rsidRPr="003665D6">
        <w:t xml:space="preserve">people </w:t>
      </w:r>
      <w:r w:rsidR="00790E51">
        <w:t xml:space="preserve">without disabilities </w:t>
      </w:r>
      <w:r w:rsidR="008A3DEA" w:rsidRPr="003665D6">
        <w:t xml:space="preserve">who live alone (7.3%), </w:t>
      </w:r>
      <w:r w:rsidRPr="003665D6">
        <w:t xml:space="preserve">among </w:t>
      </w:r>
      <w:r w:rsidR="00790E51">
        <w:t xml:space="preserve">non-disabled poor people in </w:t>
      </w:r>
      <w:r w:rsidRPr="003665D6">
        <w:t>couples with children (</w:t>
      </w:r>
      <w:r w:rsidR="008A3DEA" w:rsidRPr="003665D6">
        <w:t>6.7</w:t>
      </w:r>
      <w:r w:rsidRPr="003665D6">
        <w:t>%) and</w:t>
      </w:r>
      <w:r w:rsidR="008A3DEA" w:rsidRPr="003665D6">
        <w:t xml:space="preserve"> among</w:t>
      </w:r>
      <w:r w:rsidR="00790E51">
        <w:t xml:space="preserve"> non-disabled poor</w:t>
      </w:r>
      <w:r w:rsidR="008A3DEA" w:rsidRPr="003665D6">
        <w:t xml:space="preserve"> female lone parents (5.1%)</w:t>
      </w:r>
      <w:r w:rsidRPr="003665D6">
        <w:t xml:space="preserve">. It makes up </w:t>
      </w:r>
      <w:r w:rsidR="008A3DEA" w:rsidRPr="003665D6">
        <w:t xml:space="preserve">a </w:t>
      </w:r>
      <w:r w:rsidRPr="003665D6">
        <w:t xml:space="preserve">less </w:t>
      </w:r>
      <w:r w:rsidR="008A3DEA" w:rsidRPr="003665D6">
        <w:t xml:space="preserve">than typical share </w:t>
      </w:r>
      <w:r w:rsidRPr="003665D6">
        <w:t xml:space="preserve">of the income of </w:t>
      </w:r>
      <w:r w:rsidR="008A3DEA" w:rsidRPr="003665D6">
        <w:t xml:space="preserve">unattached </w:t>
      </w:r>
      <w:r w:rsidR="00790E51">
        <w:t xml:space="preserve">poor </w:t>
      </w:r>
      <w:r w:rsidR="008A3DEA" w:rsidRPr="003665D6">
        <w:t xml:space="preserve">people </w:t>
      </w:r>
      <w:r w:rsidR="00790E51">
        <w:t>without disabilities who live</w:t>
      </w:r>
      <w:r w:rsidR="008A3DEA" w:rsidRPr="003665D6">
        <w:t xml:space="preserve"> with others</w:t>
      </w:r>
      <w:r w:rsidRPr="003665D6">
        <w:t xml:space="preserve"> (</w:t>
      </w:r>
      <w:r w:rsidR="008A3DEA" w:rsidRPr="003665D6">
        <w:t>2.1</w:t>
      </w:r>
      <w:r w:rsidRPr="003665D6">
        <w:t>%).</w:t>
      </w:r>
    </w:p>
    <w:p w:rsidR="00C11268" w:rsidRPr="003665D6" w:rsidRDefault="00C11268" w:rsidP="00C11268">
      <w:pPr>
        <w:numPr>
          <w:ilvl w:val="0"/>
          <w:numId w:val="14"/>
        </w:numPr>
      </w:pPr>
      <w:r w:rsidRPr="003665D6">
        <w:t xml:space="preserve">Workers’ compensation </w:t>
      </w:r>
      <w:r w:rsidR="002F5DDE">
        <w:t xml:space="preserve">benefits </w:t>
      </w:r>
      <w:r w:rsidRPr="003665D6">
        <w:t xml:space="preserve">make up only </w:t>
      </w:r>
      <w:r w:rsidR="00296655" w:rsidRPr="003665D6">
        <w:t>0.4</w:t>
      </w:r>
      <w:r w:rsidRPr="003665D6">
        <w:t xml:space="preserve">% of the total income of working-age </w:t>
      </w:r>
      <w:r w:rsidR="00044198" w:rsidRPr="003665D6">
        <w:t>non-disabled</w:t>
      </w:r>
      <w:r w:rsidRPr="003665D6">
        <w:t xml:space="preserve"> poor people overall</w:t>
      </w:r>
      <w:r w:rsidR="00296655" w:rsidRPr="003665D6">
        <w:t xml:space="preserve"> and very little regardless of </w:t>
      </w:r>
      <w:r w:rsidR="00790E51">
        <w:t xml:space="preserve">any specific </w:t>
      </w:r>
      <w:r w:rsidR="00296655" w:rsidRPr="003665D6">
        <w:t>living arrangement</w:t>
      </w:r>
      <w:r w:rsidRPr="003665D6">
        <w:t>.</w:t>
      </w:r>
    </w:p>
    <w:p w:rsidR="00C11268" w:rsidRPr="003665D6" w:rsidRDefault="00C11268" w:rsidP="00C11268">
      <w:pPr>
        <w:numPr>
          <w:ilvl w:val="0"/>
          <w:numId w:val="16"/>
        </w:numPr>
      </w:pPr>
      <w:r w:rsidRPr="003665D6">
        <w:t xml:space="preserve">Social assistance </w:t>
      </w:r>
      <w:r w:rsidR="00D46B34">
        <w:t>accounts for</w:t>
      </w:r>
      <w:r w:rsidRPr="003665D6">
        <w:t xml:space="preserve"> </w:t>
      </w:r>
      <w:r w:rsidR="00296655" w:rsidRPr="003665D6">
        <w:t>6.3%</w:t>
      </w:r>
      <w:r w:rsidRPr="003665D6">
        <w:t xml:space="preserve"> of the income of working-age </w:t>
      </w:r>
      <w:r w:rsidR="00044198" w:rsidRPr="003665D6">
        <w:t>non-disabled</w:t>
      </w:r>
      <w:r w:rsidRPr="003665D6">
        <w:t xml:space="preserve"> poor people overall. It makes up </w:t>
      </w:r>
      <w:r w:rsidR="00296655" w:rsidRPr="003665D6">
        <w:t>considerably</w:t>
      </w:r>
      <w:r w:rsidRPr="003665D6">
        <w:t xml:space="preserve"> more than that among </w:t>
      </w:r>
      <w:r w:rsidR="00434E9E">
        <w:t xml:space="preserve">non-disabled </w:t>
      </w:r>
      <w:r w:rsidR="00D46B34">
        <w:t>poor</w:t>
      </w:r>
      <w:r w:rsidR="00434E9E">
        <w:t xml:space="preserve"> </w:t>
      </w:r>
      <w:r w:rsidRPr="003665D6">
        <w:t>female lone parents (</w:t>
      </w:r>
      <w:r w:rsidR="00296655" w:rsidRPr="003665D6">
        <w:t>21.3</w:t>
      </w:r>
      <w:r w:rsidRPr="003665D6">
        <w:t>%)</w:t>
      </w:r>
      <w:r w:rsidR="00296655" w:rsidRPr="003665D6">
        <w:t>,</w:t>
      </w:r>
      <w:r w:rsidRPr="003665D6">
        <w:t xml:space="preserve"> una</w:t>
      </w:r>
      <w:r w:rsidR="00296655" w:rsidRPr="003665D6">
        <w:t xml:space="preserve">ttached </w:t>
      </w:r>
      <w:r w:rsidR="00D46B34">
        <w:t xml:space="preserve">poor </w:t>
      </w:r>
      <w:r w:rsidR="00296655" w:rsidRPr="003665D6">
        <w:t xml:space="preserve">people </w:t>
      </w:r>
      <w:r w:rsidR="00D46B34">
        <w:t xml:space="preserve">without disabilities </w:t>
      </w:r>
      <w:r w:rsidR="00296655" w:rsidRPr="003665D6">
        <w:t>who live alone (12.7</w:t>
      </w:r>
      <w:r w:rsidRPr="003665D6">
        <w:t>%)</w:t>
      </w:r>
      <w:r w:rsidR="00296655" w:rsidRPr="003665D6">
        <w:t xml:space="preserve"> and among </w:t>
      </w:r>
      <w:r w:rsidR="00D46B34">
        <w:t xml:space="preserve">non-disabled poor people in </w:t>
      </w:r>
      <w:r w:rsidR="00296655" w:rsidRPr="003665D6">
        <w:t>couples with no children (</w:t>
      </w:r>
      <w:r w:rsidR="00C14714" w:rsidRPr="003665D6">
        <w:t>11.6%)</w:t>
      </w:r>
      <w:r w:rsidRPr="003665D6">
        <w:t xml:space="preserve">. Social assistance makes up </w:t>
      </w:r>
      <w:r w:rsidR="00C14714" w:rsidRPr="003665D6">
        <w:t>notably</w:t>
      </w:r>
      <w:r w:rsidRPr="003665D6">
        <w:t xml:space="preserve"> less among low income </w:t>
      </w:r>
      <w:r w:rsidR="00044198" w:rsidRPr="003665D6">
        <w:t>non-disabled</w:t>
      </w:r>
      <w:r w:rsidRPr="003665D6">
        <w:t xml:space="preserve"> poor people who are unattached and living with others (</w:t>
      </w:r>
      <w:r w:rsidR="00C14714" w:rsidRPr="003665D6">
        <w:t>0.5</w:t>
      </w:r>
      <w:r w:rsidRPr="003665D6">
        <w:t>%)</w:t>
      </w:r>
      <w:r w:rsidR="00C14714" w:rsidRPr="003665D6">
        <w:t xml:space="preserve"> and marginally less among </w:t>
      </w:r>
      <w:r w:rsidR="00D46B34">
        <w:t xml:space="preserve">poor people without disabilities in </w:t>
      </w:r>
      <w:r w:rsidR="00C14714" w:rsidRPr="003665D6">
        <w:t>couples with children (5.3%)</w:t>
      </w:r>
      <w:r w:rsidRPr="003665D6">
        <w:t>.</w:t>
      </w:r>
    </w:p>
    <w:p w:rsidR="00C11268" w:rsidRPr="003665D6" w:rsidRDefault="00C11268" w:rsidP="00C11268">
      <w:pPr>
        <w:numPr>
          <w:ilvl w:val="0"/>
          <w:numId w:val="16"/>
        </w:numPr>
      </w:pPr>
      <w:r w:rsidRPr="003665D6">
        <w:t>The Working Income Tax Benefit accounts for 1</w:t>
      </w:r>
      <w:r w:rsidR="00C14714" w:rsidRPr="003665D6">
        <w:t>.5</w:t>
      </w:r>
      <w:r w:rsidRPr="003665D6">
        <w:t xml:space="preserve">% of the income of working-age poor people without disabilities but </w:t>
      </w:r>
      <w:r w:rsidR="00F3511F" w:rsidRPr="003665D6">
        <w:t>2.3</w:t>
      </w:r>
      <w:r w:rsidRPr="003665D6">
        <w:t xml:space="preserve">% among </w:t>
      </w:r>
      <w:r w:rsidR="00D46B34">
        <w:t xml:space="preserve">non-disabled </w:t>
      </w:r>
      <w:r w:rsidR="008C5815">
        <w:t xml:space="preserve">poor </w:t>
      </w:r>
      <w:r w:rsidR="00D46B34">
        <w:t xml:space="preserve">people in </w:t>
      </w:r>
      <w:r w:rsidR="00F3511F" w:rsidRPr="003665D6">
        <w:lastRenderedPageBreak/>
        <w:t>couples with children</w:t>
      </w:r>
      <w:r w:rsidR="00C14714" w:rsidRPr="003665D6">
        <w:t xml:space="preserve"> and </w:t>
      </w:r>
      <w:r w:rsidR="0055008B" w:rsidRPr="003665D6">
        <w:t>3.4</w:t>
      </w:r>
      <w:r w:rsidR="00F3511F" w:rsidRPr="003665D6">
        <w:t xml:space="preserve">% among </w:t>
      </w:r>
      <w:r w:rsidR="00D46B34">
        <w:t xml:space="preserve">poor people without disabilities in </w:t>
      </w:r>
      <w:r w:rsidRPr="003665D6">
        <w:t xml:space="preserve">couples </w:t>
      </w:r>
      <w:r w:rsidR="00D46B34">
        <w:t>and no children</w:t>
      </w:r>
      <w:r w:rsidRPr="003665D6">
        <w:t>.</w:t>
      </w:r>
      <w:r w:rsidR="00F3511F" w:rsidRPr="003665D6">
        <w:t xml:space="preserve"> Only 0.6% of the income of unattached poor people without disabilities who live with others </w:t>
      </w:r>
      <w:r w:rsidR="00D46B34">
        <w:t xml:space="preserve">in multi-person households </w:t>
      </w:r>
      <w:r w:rsidR="00F3511F" w:rsidRPr="003665D6">
        <w:t>is from this tax benefit.</w:t>
      </w:r>
    </w:p>
    <w:p w:rsidR="00C11268" w:rsidRPr="003665D6" w:rsidRDefault="00C11268" w:rsidP="00C11268">
      <w:pPr>
        <w:numPr>
          <w:ilvl w:val="0"/>
          <w:numId w:val="16"/>
        </w:numPr>
      </w:pPr>
      <w:r w:rsidRPr="003665D6">
        <w:t xml:space="preserve">GST/HST credits make up more than the </w:t>
      </w:r>
      <w:r w:rsidR="00D604E6" w:rsidRPr="003665D6">
        <w:t>national average</w:t>
      </w:r>
      <w:r w:rsidRPr="003665D6">
        <w:t xml:space="preserve"> share </w:t>
      </w:r>
      <w:r w:rsidR="00434E9E" w:rsidRPr="003665D6">
        <w:t>(2.4%)</w:t>
      </w:r>
      <w:r w:rsidR="00434E9E">
        <w:t xml:space="preserve"> </w:t>
      </w:r>
      <w:r w:rsidRPr="003665D6">
        <w:t xml:space="preserve">of the income of working-age </w:t>
      </w:r>
      <w:r w:rsidR="00044198" w:rsidRPr="003665D6">
        <w:t>non-disabled</w:t>
      </w:r>
      <w:r w:rsidRPr="003665D6">
        <w:t xml:space="preserve"> poor people </w:t>
      </w:r>
      <w:r w:rsidR="008F78EF">
        <w:t>who are</w:t>
      </w:r>
      <w:r w:rsidR="00D604E6" w:rsidRPr="003665D6">
        <w:t xml:space="preserve"> </w:t>
      </w:r>
      <w:r w:rsidR="00C27911" w:rsidRPr="003665D6">
        <w:t xml:space="preserve">‘other’ family members not listed in detail on </w:t>
      </w:r>
      <w:r w:rsidR="00D46B34">
        <w:t>Appendix Table A2b</w:t>
      </w:r>
      <w:r w:rsidR="00C27911" w:rsidRPr="003665D6">
        <w:t xml:space="preserve"> (4.9%),</w:t>
      </w:r>
      <w:r w:rsidR="008C5815">
        <w:t xml:space="preserve"> among</w:t>
      </w:r>
      <w:r w:rsidR="00C27911" w:rsidRPr="003665D6">
        <w:t xml:space="preserve"> </w:t>
      </w:r>
      <w:r w:rsidR="00D46B34">
        <w:t xml:space="preserve">non-disabled poor </w:t>
      </w:r>
      <w:r w:rsidR="00D604E6" w:rsidRPr="003665D6">
        <w:t xml:space="preserve">female lone parents (4.3%), </w:t>
      </w:r>
      <w:r w:rsidR="008F78EF">
        <w:t xml:space="preserve">non-disabled </w:t>
      </w:r>
      <w:r w:rsidR="008C5815">
        <w:t xml:space="preserve">poor </w:t>
      </w:r>
      <w:r w:rsidR="008F78EF">
        <w:t xml:space="preserve">people in </w:t>
      </w:r>
      <w:r w:rsidR="00D604E6" w:rsidRPr="003665D6">
        <w:t xml:space="preserve">couples with (3.2%) and without children (3.7%) and among unattached </w:t>
      </w:r>
      <w:r w:rsidR="008F78EF">
        <w:t xml:space="preserve">poor </w:t>
      </w:r>
      <w:r w:rsidR="00D604E6" w:rsidRPr="003665D6">
        <w:t xml:space="preserve">people </w:t>
      </w:r>
      <w:r w:rsidR="008F78EF">
        <w:t xml:space="preserve">without disabilities </w:t>
      </w:r>
      <w:r w:rsidR="00D604E6" w:rsidRPr="003665D6">
        <w:t>who live alone (3.1%). Only 0.9% of the income of unattached non-disabled poor people living with others is from these credits.</w:t>
      </w:r>
    </w:p>
    <w:p w:rsidR="0078552F" w:rsidRPr="006E1D6B" w:rsidRDefault="0078552F" w:rsidP="0078552F">
      <w:pPr>
        <w:pStyle w:val="Heading3"/>
      </w:pPr>
      <w:bookmarkStart w:id="52" w:name="_Toc361342907"/>
      <w:r>
        <w:t xml:space="preserve">… Some </w:t>
      </w:r>
      <w:r w:rsidR="00096A19">
        <w:t>Things in Common</w:t>
      </w:r>
      <w:bookmarkEnd w:id="52"/>
    </w:p>
    <w:p w:rsidR="0078552F" w:rsidRPr="003665D6" w:rsidRDefault="0078552F" w:rsidP="0078552F">
      <w:r w:rsidRPr="003665D6">
        <w:t>Based on Appendix Tables A</w:t>
      </w:r>
      <w:r w:rsidR="00E37045">
        <w:t>2</w:t>
      </w:r>
      <w:r w:rsidRPr="003665D6">
        <w:t>a and A</w:t>
      </w:r>
      <w:r w:rsidR="001D17E8" w:rsidRPr="003665D6">
        <w:t>2</w:t>
      </w:r>
      <w:r w:rsidRPr="003665D6">
        <w:t>b and looking at national averages for working-age poor people with and without disabilities, several general patterns can be observed.</w:t>
      </w:r>
    </w:p>
    <w:p w:rsidR="0078552F" w:rsidRPr="003665D6" w:rsidRDefault="0078552F" w:rsidP="0078552F">
      <w:pPr>
        <w:numPr>
          <w:ilvl w:val="0"/>
          <w:numId w:val="17"/>
        </w:numPr>
      </w:pPr>
      <w:r w:rsidRPr="003665D6">
        <w:t xml:space="preserve">Incomes are highest among unattached </w:t>
      </w:r>
      <w:r w:rsidR="00434E9E">
        <w:t xml:space="preserve">poor </w:t>
      </w:r>
      <w:r w:rsidRPr="003665D6">
        <w:t xml:space="preserve">individuals living with others and lowest among </w:t>
      </w:r>
      <w:r w:rsidR="008C5815">
        <w:t xml:space="preserve">poor people in </w:t>
      </w:r>
      <w:r w:rsidRPr="003665D6">
        <w:t>couples with no children.</w:t>
      </w:r>
    </w:p>
    <w:p w:rsidR="0078552F" w:rsidRPr="003665D6" w:rsidRDefault="0078552F" w:rsidP="0078552F">
      <w:pPr>
        <w:numPr>
          <w:ilvl w:val="0"/>
          <w:numId w:val="17"/>
        </w:numPr>
      </w:pPr>
      <w:r w:rsidRPr="003665D6">
        <w:t xml:space="preserve">The share of transfer income is higher than the national averages shown on the tables among </w:t>
      </w:r>
      <w:r w:rsidR="00434E9E">
        <w:t xml:space="preserve">poor </w:t>
      </w:r>
      <w:r w:rsidRPr="003665D6">
        <w:t xml:space="preserve">female lone parents and </w:t>
      </w:r>
      <w:r w:rsidR="008C5815">
        <w:t>poor</w:t>
      </w:r>
      <w:r w:rsidRPr="003665D6">
        <w:t xml:space="preserve"> people who live alone. Transfer income makes up the lowest share of total income among </w:t>
      </w:r>
      <w:r w:rsidR="00434E9E">
        <w:t xml:space="preserve">poor </w:t>
      </w:r>
      <w:r w:rsidRPr="003665D6">
        <w:t>unattached people who live with others.</w:t>
      </w:r>
    </w:p>
    <w:p w:rsidR="0078552F" w:rsidRPr="003665D6" w:rsidRDefault="0078552F" w:rsidP="0078552F">
      <w:r w:rsidRPr="003665D6">
        <w:t xml:space="preserve">A notably </w:t>
      </w:r>
      <w:r w:rsidRPr="003F6133">
        <w:rPr>
          <w:i/>
        </w:rPr>
        <w:t>higher</w:t>
      </w:r>
      <w:r w:rsidRPr="003665D6">
        <w:t xml:space="preserve"> than typical share of the</w:t>
      </w:r>
      <w:r w:rsidR="0022417E" w:rsidRPr="003665D6">
        <w:t xml:space="preserve"> total income of working-age poor people</w:t>
      </w:r>
      <w:r w:rsidRPr="003665D6">
        <w:t xml:space="preserve"> is from:</w:t>
      </w:r>
    </w:p>
    <w:p w:rsidR="0078552F" w:rsidRPr="003665D6" w:rsidRDefault="0078552F" w:rsidP="0078552F">
      <w:pPr>
        <w:numPr>
          <w:ilvl w:val="0"/>
          <w:numId w:val="12"/>
        </w:numPr>
      </w:pPr>
      <w:r w:rsidRPr="003665D6">
        <w:t>Wages and salaries among unattached people in multi-person households;</w:t>
      </w:r>
    </w:p>
    <w:p w:rsidR="0078552F" w:rsidRPr="003665D6" w:rsidRDefault="0078552F" w:rsidP="0078552F">
      <w:pPr>
        <w:numPr>
          <w:ilvl w:val="0"/>
          <w:numId w:val="12"/>
        </w:numPr>
      </w:pPr>
      <w:r w:rsidRPr="003665D6">
        <w:t>Spousal and child support and child benefits among female lone parents and couples with children;</w:t>
      </w:r>
    </w:p>
    <w:p w:rsidR="0078552F" w:rsidRPr="003665D6" w:rsidRDefault="0078552F" w:rsidP="0078552F">
      <w:pPr>
        <w:numPr>
          <w:ilvl w:val="0"/>
          <w:numId w:val="12"/>
        </w:numPr>
      </w:pPr>
      <w:r w:rsidRPr="003665D6">
        <w:t>C/QPP among unattached single people and couples with no children;</w:t>
      </w:r>
    </w:p>
    <w:p w:rsidR="0078552F" w:rsidRPr="003665D6" w:rsidRDefault="0078552F" w:rsidP="0078552F">
      <w:pPr>
        <w:numPr>
          <w:ilvl w:val="0"/>
          <w:numId w:val="12"/>
        </w:numPr>
      </w:pPr>
      <w:r w:rsidRPr="003665D6">
        <w:t>EI among unattached single people, couples with children and female lone parents;</w:t>
      </w:r>
    </w:p>
    <w:p w:rsidR="0078552F" w:rsidRPr="003665D6" w:rsidRDefault="0078552F" w:rsidP="0078552F">
      <w:pPr>
        <w:numPr>
          <w:ilvl w:val="0"/>
          <w:numId w:val="12"/>
        </w:numPr>
      </w:pPr>
      <w:r w:rsidRPr="003665D6">
        <w:t>Social assistance among unattached single people and female lone parents;</w:t>
      </w:r>
    </w:p>
    <w:p w:rsidR="0078552F" w:rsidRPr="003665D6" w:rsidRDefault="0078552F" w:rsidP="0078552F">
      <w:pPr>
        <w:numPr>
          <w:ilvl w:val="0"/>
          <w:numId w:val="12"/>
        </w:numPr>
      </w:pPr>
      <w:r w:rsidRPr="003665D6">
        <w:t>The Working Income Tax Benefit among couples with no children; and</w:t>
      </w:r>
    </w:p>
    <w:p w:rsidR="0078552F" w:rsidRPr="003665D6" w:rsidRDefault="0078552F" w:rsidP="0078552F">
      <w:pPr>
        <w:numPr>
          <w:ilvl w:val="0"/>
          <w:numId w:val="12"/>
        </w:numPr>
      </w:pPr>
      <w:r w:rsidRPr="003665D6">
        <w:t>The GST/HST Credit among female lone parents and couples with no children.</w:t>
      </w:r>
    </w:p>
    <w:p w:rsidR="0078552F" w:rsidRPr="003665D6" w:rsidRDefault="0078552F" w:rsidP="0078552F">
      <w:r w:rsidRPr="003665D6">
        <w:lastRenderedPageBreak/>
        <w:t xml:space="preserve">A notably </w:t>
      </w:r>
      <w:r w:rsidRPr="003F6133">
        <w:rPr>
          <w:i/>
        </w:rPr>
        <w:t>lower</w:t>
      </w:r>
      <w:r w:rsidRPr="003665D6">
        <w:t xml:space="preserve"> than typical share of the total income </w:t>
      </w:r>
      <w:r w:rsidR="0022417E" w:rsidRPr="003665D6">
        <w:t xml:space="preserve">of working-age poor people </w:t>
      </w:r>
      <w:r w:rsidRPr="003665D6">
        <w:t>is from:</w:t>
      </w:r>
    </w:p>
    <w:p w:rsidR="0078552F" w:rsidRPr="003665D6" w:rsidRDefault="0078552F" w:rsidP="0078552F">
      <w:pPr>
        <w:numPr>
          <w:ilvl w:val="0"/>
          <w:numId w:val="12"/>
        </w:numPr>
      </w:pPr>
      <w:r w:rsidRPr="003665D6">
        <w:t>Wages and salaries among single unattached people and female lone parents;</w:t>
      </w:r>
    </w:p>
    <w:p w:rsidR="0078552F" w:rsidRPr="003665D6" w:rsidRDefault="0078552F" w:rsidP="0078552F">
      <w:pPr>
        <w:numPr>
          <w:ilvl w:val="0"/>
          <w:numId w:val="12"/>
        </w:numPr>
      </w:pPr>
      <w:r w:rsidRPr="003665D6">
        <w:t xml:space="preserve">Investments among unattached people in multi-person households and </w:t>
      </w:r>
      <w:r w:rsidR="008C5815">
        <w:t>female</w:t>
      </w:r>
      <w:r w:rsidRPr="003665D6">
        <w:t xml:space="preserve"> lone parents;</w:t>
      </w:r>
    </w:p>
    <w:p w:rsidR="0078552F" w:rsidRPr="003665D6" w:rsidRDefault="0078552F" w:rsidP="0078552F">
      <w:pPr>
        <w:numPr>
          <w:ilvl w:val="0"/>
          <w:numId w:val="12"/>
        </w:numPr>
      </w:pPr>
      <w:r w:rsidRPr="003665D6">
        <w:t>Child benefits among people with no children;</w:t>
      </w:r>
    </w:p>
    <w:p w:rsidR="0078552F" w:rsidRPr="003665D6" w:rsidRDefault="00434E9E" w:rsidP="0078552F">
      <w:pPr>
        <w:numPr>
          <w:ilvl w:val="0"/>
          <w:numId w:val="12"/>
        </w:numPr>
      </w:pPr>
      <w:r>
        <w:t xml:space="preserve">The </w:t>
      </w:r>
      <w:r w:rsidR="0078552F" w:rsidRPr="003665D6">
        <w:t>C/QPP among unattached people in multi-person households,  female lone parents and couples with children;</w:t>
      </w:r>
    </w:p>
    <w:p w:rsidR="0078552F" w:rsidRPr="003665D6" w:rsidRDefault="0078552F" w:rsidP="0078552F">
      <w:pPr>
        <w:numPr>
          <w:ilvl w:val="0"/>
          <w:numId w:val="12"/>
        </w:numPr>
      </w:pPr>
      <w:r w:rsidRPr="003665D6">
        <w:t>EI among unattached people in multi-person households;</w:t>
      </w:r>
    </w:p>
    <w:p w:rsidR="0078552F" w:rsidRPr="003665D6" w:rsidRDefault="0078552F" w:rsidP="0078552F">
      <w:pPr>
        <w:numPr>
          <w:ilvl w:val="0"/>
          <w:numId w:val="12"/>
        </w:numPr>
      </w:pPr>
      <w:r w:rsidRPr="003665D6">
        <w:t>Social assistance among unattached people in multi-person households and couples with children; and</w:t>
      </w:r>
    </w:p>
    <w:p w:rsidR="0078552F" w:rsidRPr="003665D6" w:rsidRDefault="0078552F" w:rsidP="0078552F">
      <w:pPr>
        <w:numPr>
          <w:ilvl w:val="0"/>
          <w:numId w:val="12"/>
        </w:numPr>
      </w:pPr>
      <w:r w:rsidRPr="003665D6">
        <w:t xml:space="preserve"> Working Income Tax Benefit and GST/HST credits among unattached people in multi-person households.</w:t>
      </w:r>
    </w:p>
    <w:p w:rsidR="0078552F" w:rsidRPr="003665D6" w:rsidRDefault="0078552F" w:rsidP="0078552F">
      <w:r w:rsidRPr="003665D6">
        <w:t>Another way of putting this for working-age poor people regardless of disability status is as follows:</w:t>
      </w:r>
    </w:p>
    <w:p w:rsidR="0078552F" w:rsidRPr="003665D6" w:rsidRDefault="0078552F" w:rsidP="0078552F">
      <w:pPr>
        <w:numPr>
          <w:ilvl w:val="0"/>
          <w:numId w:val="13"/>
        </w:numPr>
      </w:pPr>
      <w:r w:rsidRPr="003665D6">
        <w:t>A greater than typical share of the income of unattached people living alone is from the C/QPP, EI and social assistance and a lower than typical share is from wages and salaries and child benefits.</w:t>
      </w:r>
    </w:p>
    <w:p w:rsidR="0078552F" w:rsidRPr="003665D6" w:rsidRDefault="0078552F" w:rsidP="0078552F">
      <w:pPr>
        <w:numPr>
          <w:ilvl w:val="0"/>
          <w:numId w:val="13"/>
        </w:numPr>
      </w:pPr>
      <w:r w:rsidRPr="003665D6">
        <w:t>A greater than typical share of the income of unattached people living in multi-person households is from wages and salaries and a lower share is from investments, child benefits, EI, the C/QPP, social assistance, the Working Income Tax Benefit and GST/HST credits.</w:t>
      </w:r>
    </w:p>
    <w:p w:rsidR="0078552F" w:rsidRPr="003665D6" w:rsidRDefault="0078552F" w:rsidP="0078552F">
      <w:pPr>
        <w:numPr>
          <w:ilvl w:val="0"/>
          <w:numId w:val="13"/>
        </w:numPr>
      </w:pPr>
      <w:r w:rsidRPr="003665D6">
        <w:t>Among couples with no children, a higher than typical share of income is from the C/QPP, the Working Income Tax Benefit and GST/HST credits and a lower than typical share is from child benefits.</w:t>
      </w:r>
    </w:p>
    <w:p w:rsidR="0078552F" w:rsidRPr="003665D6" w:rsidRDefault="0078552F" w:rsidP="0078552F">
      <w:pPr>
        <w:numPr>
          <w:ilvl w:val="0"/>
          <w:numId w:val="13"/>
        </w:numPr>
      </w:pPr>
      <w:r w:rsidRPr="003665D6">
        <w:t>Among couples with children, a higher than typical share of income is from EI and child benefits and a lower than typical share is from the C/QPP and social assistance.</w:t>
      </w:r>
    </w:p>
    <w:p w:rsidR="0078552F" w:rsidRPr="003665D6" w:rsidRDefault="0078552F" w:rsidP="0078552F">
      <w:pPr>
        <w:numPr>
          <w:ilvl w:val="0"/>
          <w:numId w:val="13"/>
        </w:numPr>
      </w:pPr>
      <w:r w:rsidRPr="003665D6">
        <w:t>Among female lone parents, a higher than typical share of income is from spousal and child support, child benefits, EI, social assistance and GST/HST credits and a lower than typical share from wages and salaries, investments and the C/QPP.</w:t>
      </w:r>
    </w:p>
    <w:p w:rsidR="00E96798" w:rsidRDefault="0022417E" w:rsidP="00D917DC">
      <w:pPr>
        <w:pStyle w:val="Heading3"/>
      </w:pPr>
      <w:bookmarkStart w:id="53" w:name="_Toc361342908"/>
      <w:r>
        <w:lastRenderedPageBreak/>
        <w:t>… Some Ways People with Disabilities Stand Out</w:t>
      </w:r>
      <w:bookmarkEnd w:id="53"/>
    </w:p>
    <w:p w:rsidR="0022417E" w:rsidRPr="003665D6" w:rsidRDefault="001D17E8" w:rsidP="008403C1">
      <w:r w:rsidRPr="003665D6">
        <w:t>Based on Appendix Tables A2</w:t>
      </w:r>
      <w:r w:rsidR="0022417E" w:rsidRPr="003665D6">
        <w:t>a</w:t>
      </w:r>
      <w:r w:rsidR="003F6133">
        <w:t xml:space="preserve"> and A2</w:t>
      </w:r>
      <w:r w:rsidR="0022417E" w:rsidRPr="003665D6">
        <w:t xml:space="preserve">b, the makeup of the total income of working-age poor people with disabilities is </w:t>
      </w:r>
      <w:r w:rsidR="0024347A" w:rsidRPr="003665D6">
        <w:t xml:space="preserve">most notably </w:t>
      </w:r>
      <w:r w:rsidR="0022417E" w:rsidRPr="003665D6">
        <w:t>different than that of their non-disabled counterparts in the following ways:</w:t>
      </w:r>
    </w:p>
    <w:p w:rsidR="001E2E0E" w:rsidRPr="003665D6" w:rsidRDefault="0024347A" w:rsidP="00A26F7F">
      <w:pPr>
        <w:numPr>
          <w:ilvl w:val="0"/>
          <w:numId w:val="18"/>
        </w:numPr>
      </w:pPr>
      <w:r w:rsidRPr="003665D6">
        <w:t xml:space="preserve">A </w:t>
      </w:r>
      <w:r w:rsidR="00D917DC" w:rsidRPr="003665D6">
        <w:t xml:space="preserve">much </w:t>
      </w:r>
      <w:r w:rsidRPr="003665D6">
        <w:t>higher share of total income than that of their non-disabled counterparts is from transfers overall (65.2% vs. 28.6%)</w:t>
      </w:r>
      <w:r w:rsidR="00D917DC" w:rsidRPr="003665D6">
        <w:t xml:space="preserve"> and, in particular, from social assistance (</w:t>
      </w:r>
      <w:r w:rsidRPr="003665D6">
        <w:t>35.3% vs. 6.3%)</w:t>
      </w:r>
      <w:r w:rsidR="00D917DC" w:rsidRPr="003665D6">
        <w:t xml:space="preserve"> and the C/QPP (8.9% vs. 1.3%). Conversely, a much lower share is from salaries and wages (23.7% vs. 59.9%).</w:t>
      </w:r>
    </w:p>
    <w:p w:rsidR="00375583" w:rsidRPr="003665D6" w:rsidRDefault="00BB3E53" w:rsidP="007F4D3F">
      <w:pPr>
        <w:numPr>
          <w:ilvl w:val="0"/>
          <w:numId w:val="18"/>
        </w:numPr>
      </w:pPr>
      <w:r w:rsidRPr="003665D6">
        <w:t xml:space="preserve">A </w:t>
      </w:r>
      <w:r w:rsidR="007F4D3F">
        <w:t xml:space="preserve">higher than typical share of </w:t>
      </w:r>
      <w:r w:rsidRPr="003665D6">
        <w:t xml:space="preserve">income </w:t>
      </w:r>
      <w:r w:rsidR="00B179BE" w:rsidRPr="003665D6">
        <w:t>is from wages and salaries among</w:t>
      </w:r>
      <w:r w:rsidRPr="003665D6">
        <w:t xml:space="preserve"> poor </w:t>
      </w:r>
      <w:r w:rsidR="00CF171C" w:rsidRPr="003665D6">
        <w:t xml:space="preserve">people with disabilities in </w:t>
      </w:r>
      <w:r w:rsidRPr="003665D6">
        <w:t>couples with no children (32.7%</w:t>
      </w:r>
      <w:r w:rsidR="00434E9E">
        <w:t>)</w:t>
      </w:r>
      <w:r w:rsidRPr="003665D6">
        <w:t xml:space="preserve"> </w:t>
      </w:r>
      <w:r w:rsidR="00434E9E">
        <w:t xml:space="preserve">and among disabled poor </w:t>
      </w:r>
      <w:r w:rsidR="00E019B9">
        <w:t xml:space="preserve">people in </w:t>
      </w:r>
      <w:r w:rsidR="00434E9E">
        <w:t xml:space="preserve">couples with children (26.7%) </w:t>
      </w:r>
      <w:r w:rsidR="00434E9E" w:rsidRPr="003665D6">
        <w:t>vs. 23.7% amo</w:t>
      </w:r>
      <w:r w:rsidR="00434E9E">
        <w:t>ng disabled poor people overall</w:t>
      </w:r>
      <w:r w:rsidR="00CF171C" w:rsidRPr="003665D6">
        <w:t>. A lower than typical share of the income of non-disabled poor people in couples is from wages and salaries (44.2% vs. 59.9% among non-disabled poor people overall).</w:t>
      </w:r>
    </w:p>
    <w:p w:rsidR="00CF171C" w:rsidRPr="003665D6" w:rsidRDefault="003B2051" w:rsidP="00375583">
      <w:pPr>
        <w:numPr>
          <w:ilvl w:val="0"/>
          <w:numId w:val="18"/>
        </w:numPr>
      </w:pPr>
      <w:r w:rsidRPr="003665D6">
        <w:t>P</w:t>
      </w:r>
      <w:r w:rsidR="00CF171C" w:rsidRPr="003665D6">
        <w:t xml:space="preserve">rivate pensions make up 5.2% of total </w:t>
      </w:r>
      <w:r w:rsidRPr="003665D6">
        <w:t xml:space="preserve">income </w:t>
      </w:r>
      <w:r w:rsidR="00CF171C" w:rsidRPr="003665D6">
        <w:t xml:space="preserve">among </w:t>
      </w:r>
      <w:r w:rsidRPr="003665D6">
        <w:t>unattached poor people with dis</w:t>
      </w:r>
      <w:r w:rsidR="00DC021A" w:rsidRPr="003665D6">
        <w:t xml:space="preserve">abilities who live with others </w:t>
      </w:r>
      <w:r w:rsidRPr="003665D6">
        <w:t>vs. 1.3% among poor people with disabilities overall</w:t>
      </w:r>
      <w:r w:rsidR="00E019B9">
        <w:t>. No</w:t>
      </w:r>
      <w:r w:rsidRPr="003665D6">
        <w:t xml:space="preserve"> private pension income </w:t>
      </w:r>
      <w:r w:rsidR="00E019B9">
        <w:t xml:space="preserve">was captured in SLID </w:t>
      </w:r>
      <w:r w:rsidRPr="003665D6">
        <w:t xml:space="preserve">among </w:t>
      </w:r>
      <w:r w:rsidR="003C17C3" w:rsidRPr="003665D6">
        <w:t xml:space="preserve">unattached </w:t>
      </w:r>
      <w:r w:rsidRPr="003665D6">
        <w:t xml:space="preserve">non-disabled </w:t>
      </w:r>
      <w:r w:rsidR="00A26F7F" w:rsidRPr="003665D6">
        <w:t xml:space="preserve">working-age </w:t>
      </w:r>
      <w:r w:rsidR="003C17C3" w:rsidRPr="003665D6">
        <w:t>people who live with others</w:t>
      </w:r>
      <w:r w:rsidRPr="003665D6">
        <w:t>.</w:t>
      </w:r>
    </w:p>
    <w:p w:rsidR="003B2051" w:rsidRPr="003665D6" w:rsidRDefault="003B2051" w:rsidP="00375583">
      <w:pPr>
        <w:numPr>
          <w:ilvl w:val="0"/>
          <w:numId w:val="18"/>
        </w:numPr>
      </w:pPr>
      <w:r w:rsidRPr="003665D6">
        <w:t>Investments make up 3.4% of the total income of unattached poor people wi</w:t>
      </w:r>
      <w:r w:rsidR="00DC021A" w:rsidRPr="003665D6">
        <w:t xml:space="preserve">th disabilities who live alone </w:t>
      </w:r>
      <w:r w:rsidRPr="003665D6">
        <w:t>vs. 2.2% of the total income of poor people with disabilities overall.</w:t>
      </w:r>
    </w:p>
    <w:p w:rsidR="0031538B" w:rsidRPr="003665D6" w:rsidRDefault="0031538B" w:rsidP="00375583">
      <w:pPr>
        <w:numPr>
          <w:ilvl w:val="0"/>
          <w:numId w:val="18"/>
        </w:numPr>
      </w:pPr>
      <w:r w:rsidRPr="003665D6">
        <w:t xml:space="preserve">The OAS/GIS makes up 3.7% of the total income of poor </w:t>
      </w:r>
      <w:r w:rsidR="00E019B9">
        <w:t xml:space="preserve">disabled </w:t>
      </w:r>
      <w:r w:rsidRPr="003665D6">
        <w:t xml:space="preserve">people in couples </w:t>
      </w:r>
      <w:r w:rsidR="00E019B9">
        <w:t>with</w:t>
      </w:r>
      <w:r w:rsidRPr="003665D6">
        <w:t xml:space="preserve"> no children (vs. 0.7% of the total income of poor people with disabilities overall).</w:t>
      </w:r>
    </w:p>
    <w:p w:rsidR="00681EB8" w:rsidRPr="003665D6" w:rsidRDefault="007B7C31" w:rsidP="00681EB8">
      <w:pPr>
        <w:numPr>
          <w:ilvl w:val="0"/>
          <w:numId w:val="18"/>
        </w:numPr>
      </w:pPr>
      <w:r>
        <w:t>Workers’ compensation</w:t>
      </w:r>
      <w:r w:rsidR="00681EB8" w:rsidRPr="003665D6">
        <w:t xml:space="preserve"> </w:t>
      </w:r>
      <w:r w:rsidR="002F5DDE">
        <w:t xml:space="preserve">benefits </w:t>
      </w:r>
      <w:r w:rsidR="00681EB8" w:rsidRPr="003665D6">
        <w:t xml:space="preserve">make up 6.0% of the total income of poor people with disabilities in couples </w:t>
      </w:r>
      <w:r w:rsidR="0013132B" w:rsidRPr="003665D6">
        <w:t>with</w:t>
      </w:r>
      <w:r w:rsidR="00A57059">
        <w:t xml:space="preserve"> no children </w:t>
      </w:r>
      <w:r w:rsidR="00681EB8" w:rsidRPr="003665D6">
        <w:t>vs. 1.5% of the total income of poor p</w:t>
      </w:r>
      <w:r w:rsidR="00A57059">
        <w:t>eople with disabilities overall</w:t>
      </w:r>
      <w:r w:rsidR="00681EB8" w:rsidRPr="003665D6">
        <w:t xml:space="preserve">. </w:t>
      </w:r>
      <w:r>
        <w:t>Workers’ compensation</w:t>
      </w:r>
      <w:r w:rsidR="00681EB8" w:rsidRPr="003665D6">
        <w:t xml:space="preserve"> makes up only 0.8% of the income of their non-disabled counterparts</w:t>
      </w:r>
      <w:r w:rsidR="0013132B" w:rsidRPr="003665D6">
        <w:t xml:space="preserve"> </w:t>
      </w:r>
      <w:r w:rsidR="00A57059">
        <w:t>vs.</w:t>
      </w:r>
      <w:r w:rsidR="0013132B" w:rsidRPr="003665D6">
        <w:t xml:space="preserve"> 0.4% of the income of non-disabled poor people overall</w:t>
      </w:r>
      <w:r w:rsidR="00681EB8" w:rsidRPr="003665D6">
        <w:t>.</w:t>
      </w:r>
    </w:p>
    <w:p w:rsidR="005A0E80" w:rsidRPr="003665D6" w:rsidRDefault="0013132B" w:rsidP="00375583">
      <w:pPr>
        <w:numPr>
          <w:ilvl w:val="0"/>
          <w:numId w:val="18"/>
        </w:numPr>
      </w:pPr>
      <w:r w:rsidRPr="003665D6">
        <w:t>Social assistance makes up only a quarter (25.7%) of the income of poor people with disabilities in couples with no children</w:t>
      </w:r>
      <w:r w:rsidR="007F22B7" w:rsidRPr="003665D6">
        <w:t xml:space="preserve"> vs. more than a third (35.3%) of the income of disabled poor people overall. In contrast, social assistance makes up 11.6% of the income of non-disabled poor people in couples with no children vs. only 6.3% of the income of non-disabled poor people overall.</w:t>
      </w:r>
    </w:p>
    <w:p w:rsidR="00A601D5" w:rsidRDefault="00A601D5" w:rsidP="00A601D5">
      <w:pPr>
        <w:pStyle w:val="Heading2"/>
      </w:pPr>
      <w:bookmarkStart w:id="54" w:name="_Toc354137008"/>
      <w:bookmarkStart w:id="55" w:name="_Toc354137363"/>
      <w:bookmarkStart w:id="56" w:name="_Toc361342909"/>
      <w:r>
        <w:lastRenderedPageBreak/>
        <w:t>Low Income, Gender and Age</w:t>
      </w:r>
      <w:bookmarkEnd w:id="54"/>
      <w:bookmarkEnd w:id="55"/>
      <w:bookmarkEnd w:id="56"/>
      <w:r>
        <w:t xml:space="preserve"> </w:t>
      </w:r>
    </w:p>
    <w:p w:rsidR="000452CE" w:rsidRPr="003665D6" w:rsidRDefault="000452CE" w:rsidP="000452CE">
      <w:r>
        <w:t xml:space="preserve">Up to this point in the report the discussion has centred on working-age people 16 to 64 years of age. This section of the report broadens the focus to include seniors 65 years and older. </w:t>
      </w:r>
      <w:r w:rsidRPr="003665D6">
        <w:t xml:space="preserve">Appendix Tables A3a and A3b show the income sources of </w:t>
      </w:r>
      <w:r w:rsidR="00204FC8">
        <w:t>poor</w:t>
      </w:r>
      <w:r w:rsidRPr="003665D6">
        <w:t xml:space="preserve"> people </w:t>
      </w:r>
      <w:r w:rsidR="00204FC8">
        <w:t>with and without disabilities by</w:t>
      </w:r>
      <w:r w:rsidRPr="003665D6">
        <w:t xml:space="preserve"> gender and age group. For comparison Table A3c shows the picture for people without disabilities who are not in low income households and Table A3d shows the picture for the adult population as a whole regardless of low income or disability status. </w:t>
      </w:r>
    </w:p>
    <w:p w:rsidR="000452CE" w:rsidRDefault="000452CE" w:rsidP="000452CE">
      <w:r>
        <w:t>As t</w:t>
      </w:r>
      <w:r w:rsidRPr="003665D6">
        <w:t>he age range for the following discussion has be</w:t>
      </w:r>
      <w:r>
        <w:t xml:space="preserve">en broadened to include seniors, </w:t>
      </w:r>
      <w:r w:rsidRPr="003665D6">
        <w:t xml:space="preserve">the bottom lines for total income at the Canada level are different on Appendix Table </w:t>
      </w:r>
      <w:r>
        <w:t>A</w:t>
      </w:r>
      <w:r w:rsidRPr="003665D6">
        <w:t>3a</w:t>
      </w:r>
      <w:r>
        <w:t xml:space="preserve"> to A3</w:t>
      </w:r>
      <w:r w:rsidR="00204FC8">
        <w:t>d</w:t>
      </w:r>
      <w:r w:rsidRPr="003665D6">
        <w:t xml:space="preserve"> than on Appendix Tables</w:t>
      </w:r>
      <w:r>
        <w:t xml:space="preserve"> A1 and A2.</w:t>
      </w:r>
    </w:p>
    <w:p w:rsidR="000452CE" w:rsidRDefault="000452CE" w:rsidP="000452CE">
      <w:pPr>
        <w:pStyle w:val="Heading3"/>
      </w:pPr>
      <w:bookmarkStart w:id="57" w:name="_Toc361342910"/>
      <w:r>
        <w:t>Background Statistics</w:t>
      </w:r>
      <w:bookmarkEnd w:id="57"/>
    </w:p>
    <w:p w:rsidR="000452CE" w:rsidRPr="00A573EF" w:rsidRDefault="000452CE" w:rsidP="000452CE">
      <w:r w:rsidRPr="00A573EF">
        <w:t xml:space="preserve">Table </w:t>
      </w:r>
      <w:r>
        <w:t>7</w:t>
      </w:r>
      <w:r w:rsidRPr="00A573EF">
        <w:t xml:space="preserve"> shows age distributions by disability, after tax low income status and gender for residents of the 10 provinces when SLID 2009 was conducted. Overall patterns are that </w:t>
      </w:r>
      <w:r>
        <w:t>poor</w:t>
      </w:r>
      <w:r w:rsidRPr="00A573EF">
        <w:t xml:space="preserve"> people with disabilities are younger than their disabled counterparts with higher incomes and that this is also the case among people without disabilities. This pattern </w:t>
      </w:r>
      <w:r>
        <w:t>may</w:t>
      </w:r>
      <w:r w:rsidRPr="00A573EF">
        <w:t xml:space="preserve"> reflect in part the impact of high school and post-secondary attendance on reducing the access of young</w:t>
      </w:r>
      <w:r>
        <w:t>er</w:t>
      </w:r>
      <w:r w:rsidRPr="00A573EF">
        <w:t xml:space="preserve"> adults to employment and earnings. </w:t>
      </w:r>
    </w:p>
    <w:p w:rsidR="00204FC8" w:rsidRDefault="000452CE" w:rsidP="000452CE">
      <w:r w:rsidRPr="00A573EF">
        <w:t xml:space="preserve">As well, a proportionately greater share of low income women are seniors 65 years and older </w:t>
      </w:r>
      <w:r>
        <w:t xml:space="preserve">(17.5%) </w:t>
      </w:r>
      <w:r w:rsidRPr="00A573EF">
        <w:t xml:space="preserve">than </w:t>
      </w:r>
      <w:r>
        <w:t xml:space="preserve">is the case </w:t>
      </w:r>
      <w:r w:rsidRPr="00A573EF">
        <w:t xml:space="preserve">among their male counterparts </w:t>
      </w:r>
      <w:r>
        <w:t>(</w:t>
      </w:r>
      <w:r w:rsidRPr="00A573EF">
        <w:t xml:space="preserve">6.5%). This is also the </w:t>
      </w:r>
      <w:r>
        <w:t>situation</w:t>
      </w:r>
      <w:r w:rsidRPr="00A573EF">
        <w:t xml:space="preserve"> among low income women without disabilities, among whom 9.2% are seniors vs. 4.1% of their male counterparts. Another and starker way to put thi</w:t>
      </w:r>
      <w:r>
        <w:t>s, which is not shown on Table 7</w:t>
      </w:r>
      <w:r w:rsidRPr="00A573EF">
        <w:t xml:space="preserve">, </w:t>
      </w:r>
      <w:r>
        <w:t xml:space="preserve">is that </w:t>
      </w:r>
      <w:r w:rsidRPr="00A573EF">
        <w:t>among low income seniors with disabilities three-quarters (75.4%) are women</w:t>
      </w:r>
      <w:r>
        <w:t xml:space="preserve">. By way of comparison, </w:t>
      </w:r>
      <w:r w:rsidRPr="00A573EF">
        <w:t xml:space="preserve">a little over half (55.6%) of seniors with disabilities and incomes </w:t>
      </w:r>
      <w:r>
        <w:t xml:space="preserve">at or </w:t>
      </w:r>
      <w:r w:rsidRPr="00A573EF">
        <w:t>above the poverty line</w:t>
      </w:r>
      <w:r>
        <w:t xml:space="preserve"> are women</w:t>
      </w:r>
      <w:r w:rsidRPr="00A573EF">
        <w:t xml:space="preserve">. Similarly, among non-disabled seniors with low incomes, two-thirds (67.4%) are women compared with just over half (51.7%) of non-disabled seniors living above the poverty line. In short, seniors living in poverty are more likely to be women than men, </w:t>
      </w:r>
      <w:r>
        <w:t xml:space="preserve">but </w:t>
      </w:r>
      <w:r w:rsidRPr="00A573EF">
        <w:t>all the more so if they have disabilities.</w:t>
      </w:r>
    </w:p>
    <w:p w:rsidR="000452CE" w:rsidRPr="00A573EF" w:rsidRDefault="00204FC8" w:rsidP="000452CE">
      <w:r>
        <w:br w:type="page"/>
      </w:r>
    </w:p>
    <w:tbl>
      <w:tblPr>
        <w:tblW w:w="11608" w:type="dxa"/>
        <w:jc w:val="center"/>
        <w:tblLook w:val="04A0" w:firstRow="1" w:lastRow="0" w:firstColumn="1" w:lastColumn="0" w:noHBand="0" w:noVBand="1"/>
      </w:tblPr>
      <w:tblGrid>
        <w:gridCol w:w="1545"/>
        <w:gridCol w:w="939"/>
        <w:gridCol w:w="939"/>
        <w:gridCol w:w="1106"/>
        <w:gridCol w:w="1246"/>
        <w:gridCol w:w="1106"/>
        <w:gridCol w:w="1234"/>
        <w:gridCol w:w="1170"/>
        <w:gridCol w:w="1106"/>
        <w:gridCol w:w="1217"/>
      </w:tblGrid>
      <w:tr w:rsidR="000452CE" w:rsidRPr="000A78F7" w:rsidTr="008F5E45">
        <w:trPr>
          <w:trHeight w:val="20"/>
          <w:jc w:val="center"/>
        </w:trPr>
        <w:tc>
          <w:tcPr>
            <w:tcW w:w="11608" w:type="dxa"/>
            <w:gridSpan w:val="10"/>
            <w:tcBorders>
              <w:top w:val="single" w:sz="4" w:space="0" w:color="auto"/>
              <w:left w:val="single" w:sz="8" w:space="0" w:color="auto"/>
              <w:bottom w:val="single" w:sz="4" w:space="0" w:color="auto"/>
              <w:right w:val="single" w:sz="4" w:space="0" w:color="auto"/>
            </w:tcBorders>
            <w:shd w:val="clear" w:color="auto" w:fill="auto"/>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Pr>
                <w:rFonts w:ascii="Calibri" w:eastAsia="Times New Roman" w:hAnsi="Calibri" w:cs="Arial"/>
                <w:b/>
                <w:bCs/>
                <w:color w:val="000000"/>
                <w:sz w:val="20"/>
                <w:szCs w:val="20"/>
              </w:rPr>
              <w:t>Table 7</w:t>
            </w:r>
            <w:r w:rsidRPr="000A78F7">
              <w:rPr>
                <w:rFonts w:ascii="Calibri" w:eastAsia="Times New Roman" w:hAnsi="Calibri" w:cs="Arial"/>
                <w:b/>
                <w:bCs/>
                <w:color w:val="000000"/>
                <w:sz w:val="20"/>
                <w:szCs w:val="20"/>
              </w:rPr>
              <w:t>. Age distributions for the 10 provinces, by disability, after-tax low income status and gender, 2009</w:t>
            </w:r>
          </w:p>
        </w:tc>
      </w:tr>
      <w:tr w:rsidR="000452CE" w:rsidRPr="000A78F7" w:rsidTr="008F5E45">
        <w:trPr>
          <w:trHeight w:val="20"/>
          <w:jc w:val="center"/>
        </w:trPr>
        <w:tc>
          <w:tcPr>
            <w:tcW w:w="1545" w:type="dxa"/>
            <w:tcBorders>
              <w:top w:val="single" w:sz="4" w:space="0" w:color="auto"/>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0063" w:type="dxa"/>
            <w:gridSpan w:val="9"/>
            <w:tcBorders>
              <w:top w:val="single" w:sz="4" w:space="0" w:color="auto"/>
              <w:left w:val="nil"/>
              <w:bottom w:val="single" w:sz="12" w:space="0" w:color="000000"/>
              <w:right w:val="single" w:sz="4" w:space="0" w:color="auto"/>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With disabilities</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2984" w:type="dxa"/>
            <w:gridSpan w:val="3"/>
            <w:tcBorders>
              <w:top w:val="single" w:sz="12" w:space="0" w:color="000000"/>
              <w:left w:val="nil"/>
              <w:bottom w:val="single" w:sz="12" w:space="0" w:color="000000"/>
              <w:right w:val="single" w:sz="12" w:space="0" w:color="000000"/>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Low income</w:t>
            </w:r>
          </w:p>
        </w:tc>
        <w:tc>
          <w:tcPr>
            <w:tcW w:w="3586" w:type="dxa"/>
            <w:gridSpan w:val="3"/>
            <w:tcBorders>
              <w:top w:val="single" w:sz="12" w:space="0" w:color="000000"/>
              <w:left w:val="nil"/>
              <w:bottom w:val="single" w:sz="12" w:space="0" w:color="000000"/>
              <w:right w:val="single" w:sz="12" w:space="0" w:color="000000"/>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Not low income</w:t>
            </w:r>
          </w:p>
        </w:tc>
        <w:tc>
          <w:tcPr>
            <w:tcW w:w="3493" w:type="dxa"/>
            <w:gridSpan w:val="3"/>
            <w:tcBorders>
              <w:top w:val="single" w:sz="12" w:space="0" w:color="000000"/>
              <w:left w:val="nil"/>
              <w:bottom w:val="single" w:sz="12" w:space="0" w:color="000000"/>
              <w:right w:val="single" w:sz="4" w:space="0" w:color="auto"/>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r>
      <w:tr w:rsidR="000452CE" w:rsidRPr="000A78F7" w:rsidTr="008F5E45">
        <w:trPr>
          <w:trHeight w:val="20"/>
          <w:jc w:val="center"/>
        </w:trPr>
        <w:tc>
          <w:tcPr>
            <w:tcW w:w="15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Age groups</w:t>
            </w:r>
          </w:p>
        </w:tc>
        <w:tc>
          <w:tcPr>
            <w:tcW w:w="939"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939"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106" w:type="dxa"/>
            <w:tcBorders>
              <w:top w:val="nil"/>
              <w:left w:val="nil"/>
              <w:bottom w:val="single" w:sz="12" w:space="0" w:color="000000"/>
              <w:right w:val="single" w:sz="12"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c>
          <w:tcPr>
            <w:tcW w:w="124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110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234" w:type="dxa"/>
            <w:tcBorders>
              <w:top w:val="nil"/>
              <w:left w:val="nil"/>
              <w:bottom w:val="single" w:sz="12" w:space="0" w:color="000000"/>
              <w:right w:val="single" w:sz="12"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c>
          <w:tcPr>
            <w:tcW w:w="1170"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110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217" w:type="dxa"/>
            <w:tcBorders>
              <w:top w:val="nil"/>
              <w:left w:val="nil"/>
              <w:bottom w:val="single" w:sz="12" w:space="0" w:color="000000"/>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16-29</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22.2%</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16.3%</w:t>
            </w:r>
          </w:p>
        </w:tc>
        <w:tc>
          <w:tcPr>
            <w:tcW w:w="1106"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19.1%</w:t>
            </w:r>
          </w:p>
        </w:tc>
        <w:tc>
          <w:tcPr>
            <w:tcW w:w="124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10.2%</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8.7%</w:t>
            </w:r>
          </w:p>
        </w:tc>
        <w:tc>
          <w:tcPr>
            <w:tcW w:w="1234"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9.4%</w:t>
            </w:r>
          </w:p>
        </w:tc>
        <w:tc>
          <w:tcPr>
            <w:tcW w:w="1170"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11.8%</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9.8%</w:t>
            </w:r>
          </w:p>
        </w:tc>
        <w:tc>
          <w:tcPr>
            <w:tcW w:w="1217" w:type="dxa"/>
            <w:tcBorders>
              <w:top w:val="nil"/>
              <w:left w:val="nil"/>
              <w:bottom w:val="nil"/>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10.7%</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30-44</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19.8%</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18.4%</w:t>
            </w:r>
          </w:p>
        </w:tc>
        <w:tc>
          <w:tcPr>
            <w:tcW w:w="1106"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19.1%</w:t>
            </w:r>
          </w:p>
        </w:tc>
        <w:tc>
          <w:tcPr>
            <w:tcW w:w="124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16.6%</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15.0%</w:t>
            </w:r>
          </w:p>
        </w:tc>
        <w:tc>
          <w:tcPr>
            <w:tcW w:w="1234"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15.7%</w:t>
            </w:r>
          </w:p>
        </w:tc>
        <w:tc>
          <w:tcPr>
            <w:tcW w:w="1170"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17.0%</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15.5%</w:t>
            </w:r>
          </w:p>
        </w:tc>
        <w:tc>
          <w:tcPr>
            <w:tcW w:w="1217" w:type="dxa"/>
            <w:tcBorders>
              <w:top w:val="nil"/>
              <w:left w:val="nil"/>
              <w:bottom w:val="nil"/>
              <w:right w:val="single" w:sz="4" w:space="0" w:color="auto"/>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16.2%</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45-54</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25.7%</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21.2%</w:t>
            </w:r>
          </w:p>
        </w:tc>
        <w:tc>
          <w:tcPr>
            <w:tcW w:w="1106"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23.3%</w:t>
            </w:r>
          </w:p>
        </w:tc>
        <w:tc>
          <w:tcPr>
            <w:tcW w:w="124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20.3%</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19.8%</w:t>
            </w:r>
          </w:p>
        </w:tc>
        <w:tc>
          <w:tcPr>
            <w:tcW w:w="1234"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20.0%</w:t>
            </w:r>
          </w:p>
        </w:tc>
        <w:tc>
          <w:tcPr>
            <w:tcW w:w="1170"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21.1%</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20.0%</w:t>
            </w:r>
          </w:p>
        </w:tc>
        <w:tc>
          <w:tcPr>
            <w:tcW w:w="1217" w:type="dxa"/>
            <w:tcBorders>
              <w:top w:val="nil"/>
              <w:left w:val="nil"/>
              <w:bottom w:val="nil"/>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20.5%</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55-64</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25.9%</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26.6%</w:t>
            </w:r>
          </w:p>
        </w:tc>
        <w:tc>
          <w:tcPr>
            <w:tcW w:w="1106"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26.2%</w:t>
            </w:r>
          </w:p>
        </w:tc>
        <w:tc>
          <w:tcPr>
            <w:tcW w:w="124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20.7%</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19.8%</w:t>
            </w:r>
          </w:p>
        </w:tc>
        <w:tc>
          <w:tcPr>
            <w:tcW w:w="1234"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20.2%</w:t>
            </w:r>
          </w:p>
        </w:tc>
        <w:tc>
          <w:tcPr>
            <w:tcW w:w="1170"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21.4%</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20.7%</w:t>
            </w:r>
          </w:p>
        </w:tc>
        <w:tc>
          <w:tcPr>
            <w:tcW w:w="1217" w:type="dxa"/>
            <w:tcBorders>
              <w:top w:val="nil"/>
              <w:left w:val="nil"/>
              <w:bottom w:val="nil"/>
              <w:right w:val="single" w:sz="4" w:space="0" w:color="auto"/>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21.1%</w:t>
            </w:r>
          </w:p>
        </w:tc>
      </w:tr>
      <w:tr w:rsidR="000452CE" w:rsidRPr="000A78F7" w:rsidTr="008F5E45">
        <w:trPr>
          <w:trHeight w:val="20"/>
          <w:jc w:val="center"/>
        </w:trPr>
        <w:tc>
          <w:tcPr>
            <w:tcW w:w="1545" w:type="dxa"/>
            <w:tcBorders>
              <w:top w:val="nil"/>
              <w:left w:val="single" w:sz="8" w:space="0" w:color="auto"/>
              <w:bottom w:val="single" w:sz="4" w:space="0" w:color="auto"/>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65+</w:t>
            </w:r>
          </w:p>
        </w:tc>
        <w:tc>
          <w:tcPr>
            <w:tcW w:w="939"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6.5%</w:t>
            </w:r>
          </w:p>
        </w:tc>
        <w:tc>
          <w:tcPr>
            <w:tcW w:w="939"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17.5%</w:t>
            </w:r>
          </w:p>
        </w:tc>
        <w:tc>
          <w:tcPr>
            <w:tcW w:w="1106" w:type="dxa"/>
            <w:tcBorders>
              <w:top w:val="nil"/>
              <w:left w:val="nil"/>
              <w:bottom w:val="single" w:sz="4" w:space="0" w:color="auto"/>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12.3%</w:t>
            </w:r>
          </w:p>
        </w:tc>
        <w:tc>
          <w:tcPr>
            <w:tcW w:w="124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32.2%</w:t>
            </w:r>
          </w:p>
        </w:tc>
        <w:tc>
          <w:tcPr>
            <w:tcW w:w="110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36.8%</w:t>
            </w:r>
          </w:p>
        </w:tc>
        <w:tc>
          <w:tcPr>
            <w:tcW w:w="1234" w:type="dxa"/>
            <w:tcBorders>
              <w:top w:val="nil"/>
              <w:left w:val="nil"/>
              <w:bottom w:val="single" w:sz="4" w:space="0" w:color="auto"/>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34.6%</w:t>
            </w:r>
          </w:p>
        </w:tc>
        <w:tc>
          <w:tcPr>
            <w:tcW w:w="1170"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28.7%</w:t>
            </w:r>
          </w:p>
        </w:tc>
        <w:tc>
          <w:tcPr>
            <w:tcW w:w="110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34.1%</w:t>
            </w:r>
          </w:p>
        </w:tc>
        <w:tc>
          <w:tcPr>
            <w:tcW w:w="1217" w:type="dxa"/>
            <w:tcBorders>
              <w:top w:val="nil"/>
              <w:left w:val="nil"/>
              <w:bottom w:val="single" w:sz="4" w:space="0" w:color="auto"/>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31.5%</w:t>
            </w:r>
          </w:p>
        </w:tc>
      </w:tr>
      <w:tr w:rsidR="000452CE" w:rsidRPr="000A78F7" w:rsidTr="008F5E45">
        <w:trPr>
          <w:trHeight w:val="20"/>
          <w:jc w:val="center"/>
        </w:trPr>
        <w:tc>
          <w:tcPr>
            <w:tcW w:w="1545" w:type="dxa"/>
            <w:tcBorders>
              <w:top w:val="single" w:sz="4" w:space="0" w:color="auto"/>
              <w:left w:val="single" w:sz="8" w:space="0" w:color="auto"/>
              <w:bottom w:val="single" w:sz="8" w:space="0" w:color="auto"/>
              <w:right w:val="single" w:sz="8" w:space="0" w:color="auto"/>
            </w:tcBorders>
            <w:shd w:val="clear" w:color="auto" w:fill="auto"/>
            <w:noWrap/>
            <w:vAlign w:val="center"/>
          </w:tcPr>
          <w:p w:rsidR="000452CE" w:rsidRPr="000A78F7" w:rsidRDefault="000452CE" w:rsidP="008F5E45">
            <w:pPr>
              <w:spacing w:after="0" w:line="240" w:lineRule="auto"/>
              <w:rPr>
                <w:rFonts w:ascii="Calibri" w:eastAsia="Times New Roman" w:hAnsi="Calibri" w:cs="Arial"/>
                <w:b/>
                <w:bCs/>
                <w:color w:val="000000"/>
                <w:sz w:val="20"/>
                <w:szCs w:val="20"/>
              </w:rPr>
            </w:pPr>
            <w:r>
              <w:rPr>
                <w:rFonts w:ascii="Calibri" w:eastAsia="Times New Roman" w:hAnsi="Calibri" w:cs="Arial"/>
                <w:b/>
                <w:bCs/>
                <w:color w:val="000000"/>
                <w:sz w:val="20"/>
                <w:szCs w:val="20"/>
              </w:rPr>
              <w:t>Total percent</w:t>
            </w:r>
          </w:p>
        </w:tc>
        <w:tc>
          <w:tcPr>
            <w:tcW w:w="939" w:type="dxa"/>
            <w:tcBorders>
              <w:top w:val="single" w:sz="4" w:space="0" w:color="auto"/>
              <w:left w:val="nil"/>
              <w:bottom w:val="single" w:sz="8" w:space="0" w:color="auto"/>
              <w:right w:val="single" w:sz="4" w:space="0" w:color="000000"/>
            </w:tcBorders>
            <w:shd w:val="clear" w:color="auto" w:fill="auto"/>
            <w:noWrap/>
            <w:vAlign w:val="center"/>
          </w:tcPr>
          <w:p w:rsidR="000452CE" w:rsidRPr="000A78F7" w:rsidRDefault="000452CE" w:rsidP="008F5E45">
            <w:pPr>
              <w:spacing w:after="0" w:line="240" w:lineRule="auto"/>
              <w:jc w:val="right"/>
              <w:rPr>
                <w:rFonts w:ascii="Calibri" w:eastAsia="Times New Roman" w:hAnsi="Calibri" w:cs="Arial"/>
                <w:color w:val="000000"/>
                <w:sz w:val="20"/>
                <w:szCs w:val="20"/>
              </w:rPr>
            </w:pPr>
            <w:r w:rsidRPr="00CA550D">
              <w:rPr>
                <w:rFonts w:ascii="Calibri" w:eastAsia="Times New Roman" w:hAnsi="Calibri" w:cs="Arial"/>
                <w:color w:val="000000"/>
                <w:sz w:val="20"/>
                <w:szCs w:val="20"/>
              </w:rPr>
              <w:t>100.0%</w:t>
            </w:r>
          </w:p>
        </w:tc>
        <w:tc>
          <w:tcPr>
            <w:tcW w:w="939"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12"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4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34" w:type="dxa"/>
            <w:tcBorders>
              <w:top w:val="single" w:sz="4" w:space="0" w:color="auto"/>
              <w:left w:val="nil"/>
              <w:bottom w:val="single" w:sz="8" w:space="0" w:color="auto"/>
              <w:right w:val="single" w:sz="12"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70"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17" w:type="dxa"/>
            <w:tcBorders>
              <w:top w:val="single" w:sz="4" w:space="0" w:color="auto"/>
              <w:left w:val="nil"/>
              <w:bottom w:val="single" w:sz="8" w:space="0" w:color="auto"/>
              <w:right w:val="single" w:sz="4" w:space="0" w:color="auto"/>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r>
      <w:tr w:rsidR="000452CE" w:rsidRPr="000A78F7" w:rsidTr="008F5E45">
        <w:trPr>
          <w:trHeight w:val="20"/>
          <w:jc w:val="center"/>
        </w:trPr>
        <w:tc>
          <w:tcPr>
            <w:tcW w:w="154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 number</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499,310</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563,560</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1,062,870</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3,190,100</w:t>
            </w:r>
          </w:p>
        </w:tc>
        <w:tc>
          <w:tcPr>
            <w:tcW w:w="110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3,488,650</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6,678,750</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3,689,410</w:t>
            </w:r>
          </w:p>
        </w:tc>
        <w:tc>
          <w:tcPr>
            <w:tcW w:w="110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4,052,210</w:t>
            </w:r>
          </w:p>
        </w:tc>
        <w:tc>
          <w:tcPr>
            <w:tcW w:w="1217"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7,741,610</w:t>
            </w:r>
          </w:p>
        </w:tc>
      </w:tr>
      <w:tr w:rsidR="000452CE" w:rsidRPr="000A78F7" w:rsidTr="008F5E45">
        <w:trPr>
          <w:trHeight w:val="20"/>
          <w:jc w:val="center"/>
        </w:trPr>
        <w:tc>
          <w:tcPr>
            <w:tcW w:w="1545" w:type="dxa"/>
            <w:tcBorders>
              <w:top w:val="nil"/>
              <w:left w:val="single" w:sz="8" w:space="0" w:color="auto"/>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939"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939"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106"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246"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106"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234"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170"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106" w:type="dxa"/>
            <w:tcBorders>
              <w:top w:val="single" w:sz="8" w:space="0" w:color="auto"/>
              <w:left w:val="nil"/>
              <w:bottom w:val="single" w:sz="8" w:space="0" w:color="auto"/>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217"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10063" w:type="dxa"/>
            <w:gridSpan w:val="9"/>
            <w:tcBorders>
              <w:top w:val="nil"/>
              <w:left w:val="nil"/>
              <w:bottom w:val="single" w:sz="12" w:space="0" w:color="000000"/>
              <w:right w:val="single" w:sz="4" w:space="0" w:color="auto"/>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Without disabilities</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 </w:t>
            </w:r>
          </w:p>
        </w:tc>
        <w:tc>
          <w:tcPr>
            <w:tcW w:w="2984" w:type="dxa"/>
            <w:gridSpan w:val="3"/>
            <w:tcBorders>
              <w:top w:val="single" w:sz="12" w:space="0" w:color="000000"/>
              <w:left w:val="nil"/>
              <w:bottom w:val="single" w:sz="12" w:space="0" w:color="000000"/>
              <w:right w:val="single" w:sz="12" w:space="0" w:color="000000"/>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Low income</w:t>
            </w:r>
          </w:p>
        </w:tc>
        <w:tc>
          <w:tcPr>
            <w:tcW w:w="3586" w:type="dxa"/>
            <w:gridSpan w:val="3"/>
            <w:tcBorders>
              <w:top w:val="single" w:sz="12" w:space="0" w:color="000000"/>
              <w:left w:val="nil"/>
              <w:bottom w:val="single" w:sz="12" w:space="0" w:color="000000"/>
              <w:right w:val="single" w:sz="12" w:space="0" w:color="000000"/>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Not low income</w:t>
            </w:r>
          </w:p>
        </w:tc>
        <w:tc>
          <w:tcPr>
            <w:tcW w:w="3493" w:type="dxa"/>
            <w:gridSpan w:val="3"/>
            <w:tcBorders>
              <w:top w:val="single" w:sz="12" w:space="0" w:color="000000"/>
              <w:left w:val="nil"/>
              <w:bottom w:val="single" w:sz="12" w:space="0" w:color="000000"/>
              <w:right w:val="single" w:sz="4" w:space="0" w:color="auto"/>
            </w:tcBorders>
            <w:shd w:val="clear" w:color="auto" w:fill="auto"/>
            <w:vAlign w:val="bottom"/>
            <w:hideMark/>
          </w:tcPr>
          <w:p w:rsidR="000452CE" w:rsidRPr="000A78F7" w:rsidRDefault="000452CE" w:rsidP="008F5E45">
            <w:pPr>
              <w:spacing w:after="0" w:line="240" w:lineRule="auto"/>
              <w:jc w:val="center"/>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r>
      <w:tr w:rsidR="000452CE" w:rsidRPr="000A78F7" w:rsidTr="008F5E45">
        <w:trPr>
          <w:trHeight w:val="20"/>
          <w:jc w:val="center"/>
        </w:trPr>
        <w:tc>
          <w:tcPr>
            <w:tcW w:w="15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Age groups</w:t>
            </w:r>
          </w:p>
        </w:tc>
        <w:tc>
          <w:tcPr>
            <w:tcW w:w="939"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939"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106" w:type="dxa"/>
            <w:tcBorders>
              <w:top w:val="nil"/>
              <w:left w:val="nil"/>
              <w:bottom w:val="single" w:sz="12" w:space="0" w:color="000000"/>
              <w:right w:val="single" w:sz="12"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c>
          <w:tcPr>
            <w:tcW w:w="124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110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234" w:type="dxa"/>
            <w:tcBorders>
              <w:top w:val="nil"/>
              <w:left w:val="nil"/>
              <w:bottom w:val="single" w:sz="12" w:space="0" w:color="000000"/>
              <w:right w:val="single" w:sz="12"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c>
          <w:tcPr>
            <w:tcW w:w="1170"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Male</w:t>
            </w:r>
          </w:p>
        </w:tc>
        <w:tc>
          <w:tcPr>
            <w:tcW w:w="1106" w:type="dxa"/>
            <w:tcBorders>
              <w:top w:val="nil"/>
              <w:left w:val="nil"/>
              <w:bottom w:val="single" w:sz="12" w:space="0" w:color="000000"/>
              <w:right w:val="single" w:sz="4" w:space="0" w:color="000000"/>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Female</w:t>
            </w:r>
          </w:p>
        </w:tc>
        <w:tc>
          <w:tcPr>
            <w:tcW w:w="1217" w:type="dxa"/>
            <w:tcBorders>
              <w:top w:val="nil"/>
              <w:left w:val="nil"/>
              <w:bottom w:val="single" w:sz="12" w:space="0" w:color="000000"/>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color w:val="000000"/>
                <w:sz w:val="20"/>
                <w:szCs w:val="20"/>
              </w:rPr>
              <w:t>16-29</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44.3%</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41.7%</w:t>
            </w:r>
          </w:p>
        </w:tc>
        <w:tc>
          <w:tcPr>
            <w:tcW w:w="1106"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43.0%</w:t>
            </w:r>
          </w:p>
        </w:tc>
        <w:tc>
          <w:tcPr>
            <w:tcW w:w="124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27.5%</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26.8%</w:t>
            </w:r>
          </w:p>
        </w:tc>
        <w:tc>
          <w:tcPr>
            <w:tcW w:w="1234"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27.2%</w:t>
            </w:r>
          </w:p>
        </w:tc>
        <w:tc>
          <w:tcPr>
            <w:tcW w:w="1170"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28.9%</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27.9%</w:t>
            </w:r>
          </w:p>
        </w:tc>
        <w:tc>
          <w:tcPr>
            <w:tcW w:w="1217" w:type="dxa"/>
            <w:tcBorders>
              <w:top w:val="nil"/>
              <w:left w:val="nil"/>
              <w:bottom w:val="nil"/>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28.4%</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30-44</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25.8%</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26.6%</w:t>
            </w:r>
          </w:p>
        </w:tc>
        <w:tc>
          <w:tcPr>
            <w:tcW w:w="1106"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26.2%</w:t>
            </w:r>
          </w:p>
        </w:tc>
        <w:tc>
          <w:tcPr>
            <w:tcW w:w="124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30.0%</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29.7%</w:t>
            </w:r>
          </w:p>
        </w:tc>
        <w:tc>
          <w:tcPr>
            <w:tcW w:w="1234"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29.9%</w:t>
            </w:r>
          </w:p>
        </w:tc>
        <w:tc>
          <w:tcPr>
            <w:tcW w:w="1170"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29.6%</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29.5%</w:t>
            </w:r>
          </w:p>
        </w:tc>
        <w:tc>
          <w:tcPr>
            <w:tcW w:w="1217" w:type="dxa"/>
            <w:tcBorders>
              <w:top w:val="nil"/>
              <w:left w:val="nil"/>
              <w:bottom w:val="nil"/>
              <w:right w:val="single" w:sz="4" w:space="0" w:color="auto"/>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29.6%</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45-54</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16.3%</w:t>
            </w:r>
          </w:p>
        </w:tc>
        <w:tc>
          <w:tcPr>
            <w:tcW w:w="939"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11.7%</w:t>
            </w:r>
          </w:p>
        </w:tc>
        <w:tc>
          <w:tcPr>
            <w:tcW w:w="1106"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14.1%</w:t>
            </w:r>
          </w:p>
        </w:tc>
        <w:tc>
          <w:tcPr>
            <w:tcW w:w="124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19.3%</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19.4%</w:t>
            </w:r>
          </w:p>
        </w:tc>
        <w:tc>
          <w:tcPr>
            <w:tcW w:w="1234" w:type="dxa"/>
            <w:tcBorders>
              <w:top w:val="nil"/>
              <w:left w:val="nil"/>
              <w:bottom w:val="nil"/>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19.4%</w:t>
            </w:r>
          </w:p>
        </w:tc>
        <w:tc>
          <w:tcPr>
            <w:tcW w:w="1170"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19.1%</w:t>
            </w:r>
          </w:p>
        </w:tc>
        <w:tc>
          <w:tcPr>
            <w:tcW w:w="1106" w:type="dxa"/>
            <w:tcBorders>
              <w:top w:val="nil"/>
              <w:left w:val="nil"/>
              <w:bottom w:val="nil"/>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18.9%</w:t>
            </w:r>
          </w:p>
        </w:tc>
        <w:tc>
          <w:tcPr>
            <w:tcW w:w="1217" w:type="dxa"/>
            <w:tcBorders>
              <w:top w:val="nil"/>
              <w:left w:val="nil"/>
              <w:bottom w:val="nil"/>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19.0%</w:t>
            </w:r>
          </w:p>
        </w:tc>
      </w:tr>
      <w:tr w:rsidR="000452CE" w:rsidRPr="000A78F7" w:rsidTr="008F5E45">
        <w:trPr>
          <w:trHeight w:val="20"/>
          <w:jc w:val="center"/>
        </w:trPr>
        <w:tc>
          <w:tcPr>
            <w:tcW w:w="1545" w:type="dxa"/>
            <w:tcBorders>
              <w:top w:val="nil"/>
              <w:left w:val="single" w:sz="8" w:space="0" w:color="auto"/>
              <w:bottom w:val="nil"/>
              <w:right w:val="single" w:sz="8" w:space="0" w:color="auto"/>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55-64</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9.5%</w:t>
            </w:r>
          </w:p>
        </w:tc>
        <w:tc>
          <w:tcPr>
            <w:tcW w:w="939"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10.8%</w:t>
            </w:r>
          </w:p>
        </w:tc>
        <w:tc>
          <w:tcPr>
            <w:tcW w:w="1106"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10.1%</w:t>
            </w:r>
          </w:p>
        </w:tc>
        <w:tc>
          <w:tcPr>
            <w:tcW w:w="124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12.9%</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13.1%</w:t>
            </w:r>
          </w:p>
        </w:tc>
        <w:tc>
          <w:tcPr>
            <w:tcW w:w="1234" w:type="dxa"/>
            <w:tcBorders>
              <w:top w:val="nil"/>
              <w:left w:val="nil"/>
              <w:bottom w:val="nil"/>
              <w:right w:val="single" w:sz="12"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13.0%</w:t>
            </w:r>
          </w:p>
        </w:tc>
        <w:tc>
          <w:tcPr>
            <w:tcW w:w="1170"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12.6%</w:t>
            </w:r>
          </w:p>
        </w:tc>
        <w:tc>
          <w:tcPr>
            <w:tcW w:w="1106" w:type="dxa"/>
            <w:tcBorders>
              <w:top w:val="nil"/>
              <w:left w:val="nil"/>
              <w:bottom w:val="nil"/>
              <w:right w:val="single" w:sz="4" w:space="0" w:color="000000"/>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12.9%</w:t>
            </w:r>
          </w:p>
        </w:tc>
        <w:tc>
          <w:tcPr>
            <w:tcW w:w="1217" w:type="dxa"/>
            <w:tcBorders>
              <w:top w:val="nil"/>
              <w:left w:val="nil"/>
              <w:bottom w:val="nil"/>
              <w:right w:val="single" w:sz="4" w:space="0" w:color="auto"/>
            </w:tcBorders>
            <w:shd w:val="clear" w:color="auto" w:fill="auto"/>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12.8%</w:t>
            </w:r>
          </w:p>
        </w:tc>
      </w:tr>
      <w:tr w:rsidR="000452CE" w:rsidRPr="000A78F7" w:rsidTr="008F5E45">
        <w:trPr>
          <w:trHeight w:val="20"/>
          <w:jc w:val="center"/>
        </w:trPr>
        <w:tc>
          <w:tcPr>
            <w:tcW w:w="1545" w:type="dxa"/>
            <w:tcBorders>
              <w:top w:val="nil"/>
              <w:left w:val="single" w:sz="8" w:space="0" w:color="auto"/>
              <w:bottom w:val="single" w:sz="4" w:space="0" w:color="auto"/>
              <w:right w:val="single" w:sz="8" w:space="0" w:color="auto"/>
            </w:tcBorders>
            <w:shd w:val="clear" w:color="000000" w:fill="B8CCE4"/>
            <w:noWrap/>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65+</w:t>
            </w:r>
          </w:p>
        </w:tc>
        <w:tc>
          <w:tcPr>
            <w:tcW w:w="939"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4.1%</w:t>
            </w:r>
          </w:p>
        </w:tc>
        <w:tc>
          <w:tcPr>
            <w:tcW w:w="939"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9.2%</w:t>
            </w:r>
          </w:p>
        </w:tc>
        <w:tc>
          <w:tcPr>
            <w:tcW w:w="1106" w:type="dxa"/>
            <w:tcBorders>
              <w:top w:val="nil"/>
              <w:left w:val="nil"/>
              <w:bottom w:val="single" w:sz="4" w:space="0" w:color="auto"/>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6.6%</w:t>
            </w:r>
          </w:p>
        </w:tc>
        <w:tc>
          <w:tcPr>
            <w:tcW w:w="124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10.3%</w:t>
            </w:r>
          </w:p>
        </w:tc>
        <w:tc>
          <w:tcPr>
            <w:tcW w:w="110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10.9%</w:t>
            </w:r>
          </w:p>
        </w:tc>
        <w:tc>
          <w:tcPr>
            <w:tcW w:w="1234" w:type="dxa"/>
            <w:tcBorders>
              <w:top w:val="nil"/>
              <w:left w:val="nil"/>
              <w:bottom w:val="single" w:sz="4" w:space="0" w:color="auto"/>
              <w:right w:val="single" w:sz="12"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10.6%</w:t>
            </w:r>
          </w:p>
        </w:tc>
        <w:tc>
          <w:tcPr>
            <w:tcW w:w="1170"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9.8%</w:t>
            </w:r>
          </w:p>
        </w:tc>
        <w:tc>
          <w:tcPr>
            <w:tcW w:w="1106" w:type="dxa"/>
            <w:tcBorders>
              <w:top w:val="nil"/>
              <w:left w:val="nil"/>
              <w:bottom w:val="single" w:sz="4" w:space="0" w:color="auto"/>
              <w:right w:val="single" w:sz="4" w:space="0" w:color="000000"/>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10.8%</w:t>
            </w:r>
          </w:p>
        </w:tc>
        <w:tc>
          <w:tcPr>
            <w:tcW w:w="1217" w:type="dxa"/>
            <w:tcBorders>
              <w:top w:val="nil"/>
              <w:left w:val="nil"/>
              <w:bottom w:val="single" w:sz="4" w:space="0" w:color="auto"/>
              <w:right w:val="single" w:sz="4" w:space="0" w:color="auto"/>
            </w:tcBorders>
            <w:shd w:val="clear" w:color="000000" w:fill="B8CCE4"/>
            <w:noWrap/>
            <w:vAlign w:val="center"/>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10.3%</w:t>
            </w:r>
          </w:p>
        </w:tc>
      </w:tr>
      <w:tr w:rsidR="000452CE" w:rsidRPr="000A78F7" w:rsidTr="008F5E45">
        <w:trPr>
          <w:trHeight w:val="20"/>
          <w:jc w:val="center"/>
        </w:trPr>
        <w:tc>
          <w:tcPr>
            <w:tcW w:w="1545" w:type="dxa"/>
            <w:tcBorders>
              <w:top w:val="single" w:sz="4" w:space="0" w:color="auto"/>
              <w:left w:val="single" w:sz="8" w:space="0" w:color="auto"/>
              <w:bottom w:val="single" w:sz="8" w:space="0" w:color="auto"/>
              <w:right w:val="single" w:sz="8" w:space="0" w:color="auto"/>
            </w:tcBorders>
            <w:shd w:val="clear" w:color="auto" w:fill="auto"/>
            <w:noWrap/>
            <w:vAlign w:val="center"/>
          </w:tcPr>
          <w:p w:rsidR="000452CE" w:rsidRPr="000A78F7" w:rsidRDefault="000452CE" w:rsidP="008F5E45">
            <w:pPr>
              <w:spacing w:after="0" w:line="240" w:lineRule="auto"/>
              <w:rPr>
                <w:rFonts w:ascii="Calibri" w:eastAsia="Times New Roman" w:hAnsi="Calibri" w:cs="Arial"/>
                <w:b/>
                <w:bCs/>
                <w:color w:val="000000"/>
                <w:sz w:val="20"/>
                <w:szCs w:val="20"/>
              </w:rPr>
            </w:pPr>
            <w:r>
              <w:rPr>
                <w:rFonts w:ascii="Calibri" w:eastAsia="Times New Roman" w:hAnsi="Calibri" w:cs="Arial"/>
                <w:b/>
                <w:bCs/>
                <w:color w:val="000000"/>
                <w:sz w:val="20"/>
                <w:szCs w:val="20"/>
              </w:rPr>
              <w:t>Total percent</w:t>
            </w:r>
          </w:p>
        </w:tc>
        <w:tc>
          <w:tcPr>
            <w:tcW w:w="939" w:type="dxa"/>
            <w:tcBorders>
              <w:top w:val="single" w:sz="4" w:space="0" w:color="auto"/>
              <w:left w:val="nil"/>
              <w:bottom w:val="single" w:sz="8" w:space="0" w:color="auto"/>
              <w:right w:val="single" w:sz="4" w:space="0" w:color="000000"/>
            </w:tcBorders>
            <w:shd w:val="clear" w:color="auto" w:fill="auto"/>
            <w:noWrap/>
            <w:vAlign w:val="center"/>
          </w:tcPr>
          <w:p w:rsidR="000452CE" w:rsidRPr="000A78F7" w:rsidRDefault="000452CE" w:rsidP="008F5E45">
            <w:pPr>
              <w:spacing w:after="0" w:line="240" w:lineRule="auto"/>
              <w:jc w:val="right"/>
              <w:rPr>
                <w:rFonts w:ascii="Calibri" w:eastAsia="Times New Roman" w:hAnsi="Calibri" w:cs="Arial"/>
                <w:color w:val="000000"/>
                <w:sz w:val="20"/>
                <w:szCs w:val="20"/>
              </w:rPr>
            </w:pPr>
            <w:r w:rsidRPr="00CA550D">
              <w:rPr>
                <w:rFonts w:ascii="Calibri" w:eastAsia="Times New Roman" w:hAnsi="Calibri" w:cs="Arial"/>
                <w:color w:val="000000"/>
                <w:sz w:val="20"/>
                <w:szCs w:val="20"/>
              </w:rPr>
              <w:t>100.0%</w:t>
            </w:r>
          </w:p>
        </w:tc>
        <w:tc>
          <w:tcPr>
            <w:tcW w:w="939"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12"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4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34" w:type="dxa"/>
            <w:tcBorders>
              <w:top w:val="single" w:sz="4" w:space="0" w:color="auto"/>
              <w:left w:val="nil"/>
              <w:bottom w:val="single" w:sz="8" w:space="0" w:color="auto"/>
              <w:right w:val="single" w:sz="12"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70"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106" w:type="dxa"/>
            <w:tcBorders>
              <w:top w:val="single" w:sz="4" w:space="0" w:color="auto"/>
              <w:left w:val="nil"/>
              <w:bottom w:val="single" w:sz="8" w:space="0" w:color="auto"/>
              <w:right w:val="single" w:sz="4" w:space="0" w:color="000000"/>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c>
          <w:tcPr>
            <w:tcW w:w="1217" w:type="dxa"/>
            <w:tcBorders>
              <w:top w:val="single" w:sz="4" w:space="0" w:color="auto"/>
              <w:left w:val="nil"/>
              <w:bottom w:val="single" w:sz="8" w:space="0" w:color="auto"/>
              <w:right w:val="single" w:sz="4" w:space="0" w:color="auto"/>
            </w:tcBorders>
            <w:shd w:val="clear" w:color="auto" w:fill="auto"/>
            <w:noWrap/>
            <w:vAlign w:val="center"/>
          </w:tcPr>
          <w:p w:rsidR="000452CE" w:rsidRDefault="000452CE" w:rsidP="008F5E45">
            <w:pPr>
              <w:spacing w:after="0"/>
              <w:jc w:val="right"/>
            </w:pPr>
            <w:r w:rsidRPr="009D737E">
              <w:rPr>
                <w:rFonts w:ascii="Calibri" w:eastAsia="Times New Roman" w:hAnsi="Calibri" w:cs="Arial"/>
                <w:color w:val="000000"/>
                <w:sz w:val="20"/>
                <w:szCs w:val="20"/>
              </w:rPr>
              <w:t>100.0%</w:t>
            </w:r>
          </w:p>
        </w:tc>
      </w:tr>
      <w:tr w:rsidR="000452CE" w:rsidRPr="000A78F7" w:rsidTr="008F5E45">
        <w:trPr>
          <w:trHeight w:val="20"/>
          <w:jc w:val="center"/>
        </w:trPr>
        <w:tc>
          <w:tcPr>
            <w:tcW w:w="154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452CE" w:rsidRPr="000A78F7" w:rsidRDefault="000452CE" w:rsidP="008F5E45">
            <w:pPr>
              <w:spacing w:after="0" w:line="240" w:lineRule="auto"/>
              <w:rPr>
                <w:rFonts w:ascii="Calibri" w:eastAsia="Times New Roman" w:hAnsi="Calibri" w:cs="Arial"/>
                <w:b/>
                <w:bCs/>
                <w:color w:val="000000"/>
                <w:sz w:val="20"/>
                <w:szCs w:val="20"/>
              </w:rPr>
            </w:pPr>
            <w:r w:rsidRPr="000A78F7">
              <w:rPr>
                <w:rFonts w:ascii="Calibri" w:eastAsia="Times New Roman" w:hAnsi="Calibri" w:cs="Arial"/>
                <w:b/>
                <w:bCs/>
                <w:color w:val="000000"/>
                <w:sz w:val="20"/>
                <w:szCs w:val="20"/>
              </w:rPr>
              <w:t>Total number</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769,920</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712,720</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1,482,640</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8,748,070</w:t>
            </w:r>
          </w:p>
        </w:tc>
        <w:tc>
          <w:tcPr>
            <w:tcW w:w="110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8,854,780</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17,602,850</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9,517,990</w:t>
            </w:r>
          </w:p>
        </w:tc>
        <w:tc>
          <w:tcPr>
            <w:tcW w:w="1106" w:type="dxa"/>
            <w:tcBorders>
              <w:top w:val="single" w:sz="8" w:space="0" w:color="auto"/>
              <w:left w:val="nil"/>
              <w:bottom w:val="single" w:sz="8" w:space="0" w:color="auto"/>
              <w:right w:val="single" w:sz="4"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9,567,500</w:t>
            </w:r>
          </w:p>
        </w:tc>
        <w:tc>
          <w:tcPr>
            <w:tcW w:w="1217" w:type="dxa"/>
            <w:tcBorders>
              <w:top w:val="single" w:sz="8" w:space="0" w:color="auto"/>
              <w:left w:val="nil"/>
              <w:bottom w:val="single" w:sz="8" w:space="0" w:color="auto"/>
              <w:right w:val="single" w:sz="8" w:space="0" w:color="auto"/>
            </w:tcBorders>
            <w:shd w:val="clear" w:color="auto" w:fill="auto"/>
            <w:noWrap/>
            <w:vAlign w:val="bottom"/>
            <w:hideMark/>
          </w:tcPr>
          <w:p w:rsidR="000452CE" w:rsidRPr="000A78F7" w:rsidRDefault="000452CE" w:rsidP="008F5E45">
            <w:pPr>
              <w:spacing w:after="0" w:line="240" w:lineRule="auto"/>
              <w:jc w:val="right"/>
              <w:rPr>
                <w:rFonts w:ascii="Calibri" w:eastAsia="Times New Roman" w:hAnsi="Calibri" w:cs="Arial"/>
                <w:color w:val="000000"/>
                <w:sz w:val="20"/>
                <w:szCs w:val="20"/>
              </w:rPr>
            </w:pPr>
            <w:r w:rsidRPr="000A78F7">
              <w:rPr>
                <w:rFonts w:ascii="Calibri" w:eastAsia="Times New Roman" w:hAnsi="Calibri" w:cs="Arial"/>
                <w:color w:val="000000"/>
                <w:sz w:val="20"/>
                <w:szCs w:val="20"/>
              </w:rPr>
              <w:t>19,085,480</w:t>
            </w:r>
          </w:p>
        </w:tc>
      </w:tr>
      <w:tr w:rsidR="000452CE" w:rsidRPr="000A78F7" w:rsidTr="008F5E45">
        <w:trPr>
          <w:trHeight w:val="20"/>
          <w:jc w:val="center"/>
        </w:trPr>
        <w:tc>
          <w:tcPr>
            <w:tcW w:w="11608" w:type="dxa"/>
            <w:gridSpan w:val="10"/>
            <w:tcBorders>
              <w:top w:val="nil"/>
              <w:left w:val="nil"/>
              <w:bottom w:val="nil"/>
              <w:right w:val="nil"/>
            </w:tcBorders>
            <w:shd w:val="clear" w:color="auto" w:fill="auto"/>
            <w:noWrap/>
            <w:vAlign w:val="bottom"/>
            <w:hideMark/>
          </w:tcPr>
          <w:p w:rsidR="000452CE" w:rsidRPr="000A78F7" w:rsidRDefault="000452CE" w:rsidP="008F5E45">
            <w:pPr>
              <w:spacing w:after="0" w:line="240" w:lineRule="auto"/>
              <w:rPr>
                <w:rFonts w:ascii="Calibri" w:eastAsia="Times New Roman" w:hAnsi="Calibri" w:cs="Arial"/>
                <w:color w:val="000000"/>
                <w:sz w:val="20"/>
                <w:szCs w:val="20"/>
              </w:rPr>
            </w:pPr>
            <w:r w:rsidRPr="000A78F7">
              <w:rPr>
                <w:rFonts w:ascii="Calibri" w:eastAsia="Times New Roman" w:hAnsi="Calibri" w:cs="Arial"/>
                <w:bCs/>
                <w:color w:val="000000"/>
                <w:sz w:val="20"/>
                <w:szCs w:val="20"/>
              </w:rPr>
              <w:t>Source: SLID 2009 PUMF</w:t>
            </w:r>
          </w:p>
        </w:tc>
      </w:tr>
    </w:tbl>
    <w:p w:rsidR="000452CE" w:rsidRDefault="000452CE" w:rsidP="000452CE">
      <w:pPr>
        <w:jc w:val="center"/>
      </w:pPr>
    </w:p>
    <w:p w:rsidR="000452CE" w:rsidRDefault="000452CE" w:rsidP="000452CE">
      <w:r>
        <w:t xml:space="preserve">People with disabilities are about twice as likely as people without to have low incomes in the working years (17.6% vs. 8.1%). </w:t>
      </w:r>
      <w:r w:rsidRPr="00C92778">
        <w:t>Figure 2</w:t>
      </w:r>
      <w:r w:rsidRPr="00A144AB">
        <w:t xml:space="preserve"> shows that, depending on age, people with disabilities are about two to three times more likely </w:t>
      </w:r>
      <w:r>
        <w:t xml:space="preserve">than others </w:t>
      </w:r>
      <w:r w:rsidRPr="00A144AB">
        <w:t xml:space="preserve">to be living in low income households until the retirement years, at which point the prevalence of low income becomes similar for people with and without disabilities at 5.4% and 5.0% respectively. This finding is similar to a finding reported on the basis of the Participation and Activity Limitation Survey of 2006 (Crawford, 2010), which was a major Statistics Canada disability survey. </w:t>
      </w:r>
      <w:r>
        <w:t>The concentration of low income among working-age people with disabilities is one of the reasons why the present report has generally focused on the working-age population.</w:t>
      </w:r>
    </w:p>
    <w:p w:rsidR="000452CE" w:rsidRPr="00A144AB" w:rsidRDefault="000452CE" w:rsidP="000452CE">
      <w:pPr>
        <w:jc w:val="center"/>
      </w:pPr>
      <w:r>
        <w:object w:dxaOrig="7195" w:dyaOrig="4322">
          <v:shape id="_x0000_i1026" type="#_x0000_t75" style="width:5in;height:3in" o:ole="" o:allowoverlap="f">
            <v:imagedata r:id="rId23" o:title=""/>
            <o:lock v:ext="edit" aspectratio="f"/>
          </v:shape>
          <o:OLEObject Type="Embed" ProgID="Excel.Sheet.8" ShapeID="_x0000_i1026" DrawAspect="Content" ObjectID="_1444740564" r:id="rId24"/>
        </w:object>
      </w:r>
    </w:p>
    <w:p w:rsidR="000452CE" w:rsidRPr="00A144AB" w:rsidRDefault="000452CE" w:rsidP="000452CE">
      <w:r>
        <w:t xml:space="preserve">Taking seniors into account, </w:t>
      </w:r>
      <w:r w:rsidRPr="00A144AB">
        <w:t xml:space="preserve">the rates of </w:t>
      </w:r>
      <w:r>
        <w:t>poverty</w:t>
      </w:r>
      <w:r w:rsidRPr="00A144AB">
        <w:t xml:space="preserve"> are similar for men and women with disabilities at 13.5% and 13.9% respectively</w:t>
      </w:r>
      <w:r>
        <w:t xml:space="preserve"> (Table 8 and Figure 3)</w:t>
      </w:r>
      <w:r w:rsidRPr="00A144AB">
        <w:t>. The</w:t>
      </w:r>
      <w:r>
        <w:t xml:space="preserve"> poverty</w:t>
      </w:r>
      <w:r w:rsidRPr="00A144AB">
        <w:t xml:space="preserve"> rates are also similar for men and women without disabilities, although men without are slightly more likely to live in low income households at 8.1% compared with 7.4% </w:t>
      </w:r>
      <w:r>
        <w:t>of non-disabled</w:t>
      </w:r>
      <w:r w:rsidRPr="00A144AB">
        <w:t xml:space="preserve"> women.</w:t>
      </w:r>
    </w:p>
    <w:tbl>
      <w:tblPr>
        <w:tblpPr w:leftFromText="180" w:rightFromText="180" w:vertAnchor="text" w:tblpX="93" w:tblpY="1"/>
        <w:tblOverlap w:val="never"/>
        <w:tblW w:w="4800" w:type="dxa"/>
        <w:tblLook w:val="04A0" w:firstRow="1" w:lastRow="0" w:firstColumn="1" w:lastColumn="0" w:noHBand="0" w:noVBand="1"/>
      </w:tblPr>
      <w:tblGrid>
        <w:gridCol w:w="1269"/>
        <w:gridCol w:w="770"/>
        <w:gridCol w:w="997"/>
        <w:gridCol w:w="764"/>
        <w:gridCol w:w="1001"/>
      </w:tblGrid>
      <w:tr w:rsidR="000452CE" w:rsidRPr="00540EC3" w:rsidTr="008F5E45">
        <w:trPr>
          <w:trHeight w:val="300"/>
        </w:trPr>
        <w:tc>
          <w:tcPr>
            <w:tcW w:w="480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452CE" w:rsidRPr="005916AE" w:rsidRDefault="000452CE"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xml:space="preserve">Table </w:t>
            </w:r>
            <w:r>
              <w:rPr>
                <w:rFonts w:ascii="Calibri" w:eastAsia="Times New Roman" w:hAnsi="Calibri"/>
                <w:b/>
                <w:bCs/>
                <w:color w:val="000000"/>
                <w:sz w:val="22"/>
                <w:szCs w:val="22"/>
              </w:rPr>
              <w:t>8</w:t>
            </w:r>
            <w:r w:rsidRPr="005916AE">
              <w:rPr>
                <w:rFonts w:ascii="Calibri" w:eastAsia="Times New Roman" w:hAnsi="Calibri"/>
                <w:b/>
                <w:bCs/>
                <w:color w:val="000000"/>
                <w:sz w:val="22"/>
                <w:szCs w:val="22"/>
              </w:rPr>
              <w:t>. After-tax low income rates by disability status, gender and age group in the 10 provinces</w:t>
            </w:r>
          </w:p>
        </w:tc>
      </w:tr>
      <w:tr w:rsidR="000452CE" w:rsidRPr="00540EC3" w:rsidTr="008F5E45">
        <w:trPr>
          <w:trHeight w:val="300"/>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1766" w:type="dxa"/>
            <w:gridSpan w:val="2"/>
            <w:tcBorders>
              <w:top w:val="single" w:sz="4" w:space="0" w:color="auto"/>
              <w:left w:val="nil"/>
              <w:bottom w:val="single" w:sz="4" w:space="0" w:color="auto"/>
              <w:right w:val="single" w:sz="4" w:space="0" w:color="auto"/>
            </w:tcBorders>
            <w:shd w:val="clear" w:color="auto" w:fill="auto"/>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 disabilities</w:t>
            </w:r>
          </w:p>
        </w:tc>
        <w:tc>
          <w:tcPr>
            <w:tcW w:w="1765" w:type="dxa"/>
            <w:gridSpan w:val="2"/>
            <w:tcBorders>
              <w:top w:val="single" w:sz="4" w:space="0" w:color="auto"/>
              <w:left w:val="nil"/>
              <w:bottom w:val="single" w:sz="4" w:space="0" w:color="auto"/>
              <w:right w:val="single" w:sz="4" w:space="0" w:color="auto"/>
            </w:tcBorders>
            <w:shd w:val="clear" w:color="auto" w:fill="auto"/>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Without disabilities</w:t>
            </w:r>
          </w:p>
        </w:tc>
      </w:tr>
      <w:tr w:rsidR="000452CE" w:rsidRPr="00540EC3" w:rsidTr="008F5E45">
        <w:trPr>
          <w:trHeight w:val="315"/>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rPr>
                <w:rFonts w:ascii="Calibri" w:eastAsia="Times New Roman" w:hAnsi="Calibri"/>
                <w:b/>
                <w:bCs/>
                <w:color w:val="000000"/>
                <w:sz w:val="22"/>
                <w:szCs w:val="22"/>
              </w:rPr>
            </w:pPr>
            <w:r w:rsidRPr="005916AE">
              <w:rPr>
                <w:rFonts w:ascii="Calibri" w:eastAsia="Times New Roman" w:hAnsi="Calibri"/>
                <w:b/>
                <w:bCs/>
                <w:color w:val="000000"/>
                <w:sz w:val="22"/>
                <w:szCs w:val="22"/>
              </w:rPr>
              <w:t> </w:t>
            </w:r>
          </w:p>
        </w:tc>
        <w:tc>
          <w:tcPr>
            <w:tcW w:w="769" w:type="dxa"/>
            <w:tcBorders>
              <w:top w:val="nil"/>
              <w:left w:val="nil"/>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Men</w:t>
            </w:r>
          </w:p>
        </w:tc>
        <w:tc>
          <w:tcPr>
            <w:tcW w:w="997" w:type="dxa"/>
            <w:tcBorders>
              <w:top w:val="nil"/>
              <w:left w:val="nil"/>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Women</w:t>
            </w:r>
          </w:p>
        </w:tc>
        <w:tc>
          <w:tcPr>
            <w:tcW w:w="764" w:type="dxa"/>
            <w:tcBorders>
              <w:top w:val="nil"/>
              <w:left w:val="nil"/>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Men</w:t>
            </w:r>
          </w:p>
        </w:tc>
        <w:tc>
          <w:tcPr>
            <w:tcW w:w="1001" w:type="dxa"/>
            <w:tcBorders>
              <w:top w:val="nil"/>
              <w:left w:val="nil"/>
              <w:bottom w:val="single" w:sz="4" w:space="0" w:color="auto"/>
              <w:right w:val="single" w:sz="4" w:space="0" w:color="auto"/>
            </w:tcBorders>
            <w:shd w:val="clear" w:color="auto" w:fill="auto"/>
            <w:noWrap/>
            <w:vAlign w:val="bottom"/>
            <w:hideMark/>
          </w:tcPr>
          <w:p w:rsidR="000452CE" w:rsidRPr="005916AE" w:rsidRDefault="000452CE" w:rsidP="008F5E45">
            <w:pPr>
              <w:spacing w:after="0" w:line="240" w:lineRule="auto"/>
              <w:jc w:val="center"/>
              <w:rPr>
                <w:rFonts w:ascii="Calibri" w:eastAsia="Times New Roman" w:hAnsi="Calibri"/>
                <w:b/>
                <w:bCs/>
                <w:color w:val="000000"/>
                <w:sz w:val="22"/>
                <w:szCs w:val="22"/>
              </w:rPr>
            </w:pPr>
            <w:r w:rsidRPr="005916AE">
              <w:rPr>
                <w:rFonts w:ascii="Calibri" w:eastAsia="Times New Roman" w:hAnsi="Calibri"/>
                <w:b/>
                <w:bCs/>
                <w:color w:val="000000"/>
                <w:sz w:val="22"/>
                <w:szCs w:val="22"/>
              </w:rPr>
              <w:t>Women</w:t>
            </w:r>
          </w:p>
        </w:tc>
      </w:tr>
      <w:tr w:rsidR="000452CE" w:rsidRPr="00540EC3" w:rsidTr="008F5E45">
        <w:trPr>
          <w:trHeight w:val="315"/>
        </w:trPr>
        <w:tc>
          <w:tcPr>
            <w:tcW w:w="1269" w:type="dxa"/>
            <w:tcBorders>
              <w:top w:val="nil"/>
              <w:left w:val="single" w:sz="4" w:space="0" w:color="auto"/>
              <w:bottom w:val="single" w:sz="4" w:space="0" w:color="auto"/>
              <w:right w:val="single" w:sz="4" w:space="0" w:color="auto"/>
            </w:tcBorders>
            <w:shd w:val="clear" w:color="auto" w:fill="auto"/>
            <w:noWrap/>
            <w:vAlign w:val="bottom"/>
          </w:tcPr>
          <w:p w:rsidR="000452CE" w:rsidRPr="005916AE" w:rsidRDefault="000452CE" w:rsidP="008F5E45">
            <w:pPr>
              <w:spacing w:after="0" w:line="240" w:lineRule="auto"/>
              <w:rPr>
                <w:rFonts w:ascii="Calibri" w:eastAsia="Times New Roman" w:hAnsi="Calibri"/>
                <w:b/>
                <w:bCs/>
                <w:color w:val="000000"/>
                <w:sz w:val="22"/>
                <w:szCs w:val="22"/>
              </w:rPr>
            </w:pPr>
            <w:r>
              <w:rPr>
                <w:rFonts w:ascii="Calibri" w:eastAsia="Times New Roman" w:hAnsi="Calibri"/>
                <w:b/>
                <w:bCs/>
                <w:color w:val="000000"/>
                <w:sz w:val="22"/>
                <w:szCs w:val="22"/>
              </w:rPr>
              <w:t>16 - 64</w:t>
            </w:r>
          </w:p>
        </w:tc>
        <w:tc>
          <w:tcPr>
            <w:tcW w:w="769" w:type="dxa"/>
            <w:tcBorders>
              <w:top w:val="nil"/>
              <w:left w:val="nil"/>
              <w:bottom w:val="single" w:sz="4" w:space="0" w:color="auto"/>
              <w:right w:val="single" w:sz="4" w:space="0" w:color="auto"/>
            </w:tcBorders>
            <w:shd w:val="clear" w:color="auto" w:fill="auto"/>
            <w:noWrap/>
          </w:tcPr>
          <w:p w:rsidR="000452CE" w:rsidRPr="00A73B4D" w:rsidRDefault="000452CE" w:rsidP="008F5E45">
            <w:pPr>
              <w:spacing w:after="0" w:line="240" w:lineRule="auto"/>
              <w:jc w:val="right"/>
              <w:rPr>
                <w:rFonts w:ascii="Calibri" w:eastAsia="Times New Roman" w:hAnsi="Calibri" w:cs="Arial"/>
                <w:b/>
                <w:color w:val="000000"/>
                <w:sz w:val="22"/>
                <w:szCs w:val="22"/>
              </w:rPr>
            </w:pPr>
            <w:r w:rsidRPr="00A73B4D">
              <w:rPr>
                <w:rFonts w:ascii="Calibri" w:eastAsia="Times New Roman" w:hAnsi="Calibri" w:cs="Arial"/>
                <w:b/>
                <w:color w:val="000000"/>
                <w:sz w:val="22"/>
                <w:szCs w:val="22"/>
              </w:rPr>
              <w:t>17.8%</w:t>
            </w:r>
          </w:p>
        </w:tc>
        <w:tc>
          <w:tcPr>
            <w:tcW w:w="997" w:type="dxa"/>
            <w:tcBorders>
              <w:top w:val="nil"/>
              <w:left w:val="nil"/>
              <w:bottom w:val="single" w:sz="4" w:space="0" w:color="auto"/>
              <w:right w:val="single" w:sz="4" w:space="0" w:color="auto"/>
            </w:tcBorders>
            <w:shd w:val="clear" w:color="auto" w:fill="auto"/>
            <w:noWrap/>
          </w:tcPr>
          <w:p w:rsidR="000452CE" w:rsidRPr="00A73B4D" w:rsidRDefault="000452CE" w:rsidP="008F5E45">
            <w:pPr>
              <w:spacing w:after="0" w:line="240" w:lineRule="auto"/>
              <w:jc w:val="right"/>
              <w:rPr>
                <w:rFonts w:ascii="Calibri" w:eastAsia="Times New Roman" w:hAnsi="Calibri" w:cs="Arial"/>
                <w:b/>
                <w:color w:val="000000"/>
                <w:sz w:val="22"/>
                <w:szCs w:val="22"/>
              </w:rPr>
            </w:pPr>
            <w:r w:rsidRPr="00A73B4D">
              <w:rPr>
                <w:rFonts w:ascii="Calibri" w:eastAsia="Times New Roman" w:hAnsi="Calibri" w:cs="Arial"/>
                <w:b/>
                <w:color w:val="000000"/>
                <w:sz w:val="22"/>
                <w:szCs w:val="22"/>
              </w:rPr>
              <w:t>17.4%</w:t>
            </w:r>
          </w:p>
        </w:tc>
        <w:tc>
          <w:tcPr>
            <w:tcW w:w="764" w:type="dxa"/>
            <w:tcBorders>
              <w:top w:val="nil"/>
              <w:left w:val="nil"/>
              <w:bottom w:val="single" w:sz="4" w:space="0" w:color="auto"/>
              <w:right w:val="single" w:sz="4" w:space="0" w:color="auto"/>
            </w:tcBorders>
            <w:shd w:val="clear" w:color="auto" w:fill="auto"/>
            <w:noWrap/>
          </w:tcPr>
          <w:p w:rsidR="000452CE" w:rsidRPr="00A73B4D" w:rsidRDefault="000452CE" w:rsidP="008F5E45">
            <w:pPr>
              <w:spacing w:after="0" w:line="240" w:lineRule="auto"/>
              <w:jc w:val="right"/>
              <w:rPr>
                <w:rFonts w:ascii="Calibri" w:eastAsia="Times New Roman" w:hAnsi="Calibri"/>
                <w:b/>
                <w:color w:val="000000"/>
                <w:sz w:val="22"/>
                <w:szCs w:val="22"/>
              </w:rPr>
            </w:pPr>
            <w:r w:rsidRPr="00A73B4D">
              <w:rPr>
                <w:rFonts w:ascii="Calibri" w:eastAsia="Times New Roman" w:hAnsi="Calibri"/>
                <w:b/>
                <w:color w:val="000000"/>
                <w:sz w:val="22"/>
                <w:szCs w:val="22"/>
              </w:rPr>
              <w:t>8.6%</w:t>
            </w:r>
          </w:p>
        </w:tc>
        <w:tc>
          <w:tcPr>
            <w:tcW w:w="1001" w:type="dxa"/>
            <w:tcBorders>
              <w:top w:val="nil"/>
              <w:left w:val="nil"/>
              <w:bottom w:val="single" w:sz="4" w:space="0" w:color="auto"/>
              <w:right w:val="single" w:sz="4" w:space="0" w:color="auto"/>
            </w:tcBorders>
            <w:shd w:val="clear" w:color="auto" w:fill="auto"/>
            <w:noWrap/>
          </w:tcPr>
          <w:p w:rsidR="000452CE" w:rsidRPr="00A73B4D" w:rsidRDefault="000452CE" w:rsidP="008F5E45">
            <w:pPr>
              <w:spacing w:after="0" w:line="240" w:lineRule="auto"/>
              <w:jc w:val="right"/>
              <w:rPr>
                <w:rFonts w:ascii="Calibri" w:eastAsia="Times New Roman" w:hAnsi="Calibri"/>
                <w:b/>
                <w:color w:val="000000"/>
                <w:sz w:val="22"/>
                <w:szCs w:val="22"/>
              </w:rPr>
            </w:pPr>
            <w:r w:rsidRPr="00A73B4D">
              <w:rPr>
                <w:rFonts w:ascii="Calibri" w:eastAsia="Times New Roman" w:hAnsi="Calibri"/>
                <w:b/>
                <w:color w:val="000000"/>
                <w:sz w:val="22"/>
                <w:szCs w:val="22"/>
              </w:rPr>
              <w:t>7.6%</w:t>
            </w:r>
          </w:p>
        </w:tc>
      </w:tr>
      <w:tr w:rsidR="000452CE" w:rsidRPr="00540EC3"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5916AE" w:rsidRDefault="000452CE" w:rsidP="008F5E45">
            <w:pPr>
              <w:spacing w:after="0" w:line="240" w:lineRule="auto"/>
              <w:ind w:firstLine="144"/>
              <w:rPr>
                <w:rFonts w:ascii="Calibri" w:eastAsia="Times New Roman" w:hAnsi="Calibri" w:cs="Arial"/>
                <w:color w:val="000000"/>
                <w:sz w:val="22"/>
                <w:szCs w:val="22"/>
              </w:rPr>
            </w:pPr>
            <w:r w:rsidRPr="005916AE">
              <w:rPr>
                <w:rFonts w:ascii="Calibri" w:eastAsia="Times New Roman" w:hAnsi="Calibri" w:cs="Arial"/>
                <w:color w:val="000000"/>
                <w:sz w:val="22"/>
                <w:szCs w:val="22"/>
              </w:rPr>
              <w:t>16 - 29</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s="Arial"/>
                <w:color w:val="000000"/>
                <w:sz w:val="22"/>
                <w:szCs w:val="22"/>
              </w:rPr>
            </w:pPr>
            <w:r w:rsidRPr="005916AE">
              <w:rPr>
                <w:rFonts w:ascii="Calibri" w:eastAsia="Times New Roman" w:hAnsi="Calibri" w:cs="Arial"/>
                <w:color w:val="000000"/>
                <w:sz w:val="22"/>
                <w:szCs w:val="22"/>
              </w:rPr>
              <w:t>25.4%</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s="Arial"/>
                <w:color w:val="000000"/>
                <w:sz w:val="22"/>
                <w:szCs w:val="22"/>
              </w:rPr>
            </w:pPr>
            <w:r w:rsidRPr="005916AE">
              <w:rPr>
                <w:rFonts w:ascii="Calibri" w:eastAsia="Times New Roman" w:hAnsi="Calibri" w:cs="Arial"/>
                <w:color w:val="000000"/>
                <w:sz w:val="22"/>
                <w:szCs w:val="22"/>
              </w:rPr>
              <w:t>23.2%</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12.4%</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11.1%</w:t>
            </w:r>
          </w:p>
        </w:tc>
      </w:tr>
      <w:tr w:rsidR="000452CE" w:rsidRPr="00540EC3"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5916AE" w:rsidRDefault="000452CE" w:rsidP="008F5E45">
            <w:pPr>
              <w:spacing w:after="0" w:line="240" w:lineRule="auto"/>
              <w:ind w:firstLine="144"/>
              <w:rPr>
                <w:rFonts w:ascii="Calibri" w:eastAsia="Times New Roman" w:hAnsi="Calibri" w:cs="Arial"/>
                <w:color w:val="000000"/>
                <w:sz w:val="22"/>
                <w:szCs w:val="22"/>
              </w:rPr>
            </w:pPr>
            <w:r w:rsidRPr="005916AE">
              <w:rPr>
                <w:rFonts w:ascii="Calibri" w:eastAsia="Times New Roman" w:hAnsi="Calibri" w:cs="Arial"/>
                <w:color w:val="000000"/>
                <w:sz w:val="22"/>
                <w:szCs w:val="22"/>
              </w:rPr>
              <w:t>30 - 44</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15.7%</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16.6%</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7.1%</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6.7%</w:t>
            </w:r>
          </w:p>
        </w:tc>
      </w:tr>
      <w:tr w:rsidR="000452CE" w:rsidRPr="00540EC3"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5916AE" w:rsidRDefault="000452CE" w:rsidP="008F5E45">
            <w:pPr>
              <w:spacing w:after="0" w:line="240" w:lineRule="auto"/>
              <w:ind w:firstLine="144"/>
              <w:rPr>
                <w:rFonts w:ascii="Calibri" w:eastAsia="Times New Roman" w:hAnsi="Calibri" w:cs="Arial"/>
                <w:color w:val="000000"/>
                <w:sz w:val="22"/>
                <w:szCs w:val="22"/>
              </w:rPr>
            </w:pPr>
            <w:r w:rsidRPr="005916AE">
              <w:rPr>
                <w:rFonts w:ascii="Calibri" w:eastAsia="Times New Roman" w:hAnsi="Calibri" w:cs="Arial"/>
                <w:color w:val="000000"/>
                <w:sz w:val="22"/>
                <w:szCs w:val="22"/>
              </w:rPr>
              <w:t>45 - 54</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16.5%</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14.7%</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6.9%</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4.6%</w:t>
            </w:r>
          </w:p>
        </w:tc>
      </w:tr>
      <w:tr w:rsidR="000452CE" w:rsidRPr="00540EC3"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5916AE" w:rsidRDefault="000452CE" w:rsidP="008F5E45">
            <w:pPr>
              <w:spacing w:after="0" w:line="240" w:lineRule="auto"/>
              <w:ind w:firstLine="144"/>
              <w:rPr>
                <w:rFonts w:ascii="Calibri" w:eastAsia="Times New Roman" w:hAnsi="Calibri" w:cs="Arial"/>
                <w:color w:val="000000"/>
                <w:sz w:val="22"/>
                <w:szCs w:val="22"/>
              </w:rPr>
            </w:pPr>
            <w:r w:rsidRPr="005916AE">
              <w:rPr>
                <w:rFonts w:ascii="Calibri" w:eastAsia="Times New Roman" w:hAnsi="Calibri" w:cs="Arial"/>
                <w:color w:val="000000"/>
                <w:sz w:val="22"/>
                <w:szCs w:val="22"/>
              </w:rPr>
              <w:t>55 - 64</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16.3%</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17.9%</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6.1%</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5916AE" w:rsidRDefault="000452CE" w:rsidP="008F5E45">
            <w:pPr>
              <w:spacing w:after="0" w:line="240" w:lineRule="auto"/>
              <w:jc w:val="right"/>
              <w:rPr>
                <w:rFonts w:ascii="Calibri" w:eastAsia="Times New Roman" w:hAnsi="Calibri"/>
                <w:color w:val="000000"/>
                <w:sz w:val="22"/>
                <w:szCs w:val="22"/>
              </w:rPr>
            </w:pPr>
            <w:r w:rsidRPr="005916AE">
              <w:rPr>
                <w:rFonts w:ascii="Calibri" w:eastAsia="Times New Roman" w:hAnsi="Calibri"/>
                <w:color w:val="000000"/>
                <w:sz w:val="22"/>
                <w:szCs w:val="22"/>
              </w:rPr>
              <w:t>6.2%</w:t>
            </w:r>
          </w:p>
        </w:tc>
      </w:tr>
      <w:tr w:rsidR="000452CE" w:rsidRPr="00540EC3"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0F09B3" w:rsidRDefault="000452CE" w:rsidP="008F5E45">
            <w:pPr>
              <w:spacing w:after="0" w:line="240" w:lineRule="auto"/>
              <w:rPr>
                <w:rFonts w:ascii="Calibri" w:eastAsia="Times New Roman" w:hAnsi="Calibri" w:cs="Arial"/>
                <w:b/>
                <w:color w:val="000000"/>
                <w:sz w:val="22"/>
                <w:szCs w:val="22"/>
              </w:rPr>
            </w:pPr>
            <w:r w:rsidRPr="000F09B3">
              <w:rPr>
                <w:rFonts w:ascii="Calibri" w:eastAsia="Times New Roman" w:hAnsi="Calibri" w:cs="Arial"/>
                <w:b/>
                <w:color w:val="000000"/>
                <w:sz w:val="22"/>
                <w:szCs w:val="22"/>
              </w:rPr>
              <w:t>65 +</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line="240" w:lineRule="auto"/>
              <w:jc w:val="right"/>
              <w:rPr>
                <w:rFonts w:ascii="Calibri" w:eastAsia="Times New Roman" w:hAnsi="Calibri"/>
                <w:b/>
                <w:color w:val="000000"/>
                <w:sz w:val="22"/>
                <w:szCs w:val="22"/>
              </w:rPr>
            </w:pPr>
            <w:r w:rsidRPr="000F09B3">
              <w:rPr>
                <w:rFonts w:ascii="Calibri" w:eastAsia="Times New Roman" w:hAnsi="Calibri"/>
                <w:b/>
                <w:color w:val="000000"/>
                <w:sz w:val="22"/>
                <w:szCs w:val="22"/>
              </w:rPr>
              <w:t>3.0%</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line="240" w:lineRule="auto"/>
              <w:jc w:val="right"/>
              <w:rPr>
                <w:rFonts w:ascii="Calibri" w:eastAsia="Times New Roman" w:hAnsi="Calibri"/>
                <w:b/>
                <w:color w:val="000000"/>
                <w:sz w:val="22"/>
                <w:szCs w:val="22"/>
              </w:rPr>
            </w:pPr>
            <w:r w:rsidRPr="000F09B3">
              <w:rPr>
                <w:rFonts w:ascii="Calibri" w:eastAsia="Times New Roman" w:hAnsi="Calibri"/>
                <w:b/>
                <w:color w:val="000000"/>
                <w:sz w:val="22"/>
                <w:szCs w:val="22"/>
              </w:rPr>
              <w:t>7.1%</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line="240" w:lineRule="auto"/>
              <w:jc w:val="right"/>
              <w:rPr>
                <w:rFonts w:ascii="Calibri" w:eastAsia="Times New Roman" w:hAnsi="Calibri"/>
                <w:b/>
                <w:color w:val="000000"/>
                <w:sz w:val="22"/>
                <w:szCs w:val="22"/>
              </w:rPr>
            </w:pPr>
            <w:r w:rsidRPr="000F09B3">
              <w:rPr>
                <w:rFonts w:ascii="Calibri" w:eastAsia="Times New Roman" w:hAnsi="Calibri"/>
                <w:b/>
                <w:color w:val="000000"/>
                <w:sz w:val="22"/>
                <w:szCs w:val="22"/>
              </w:rPr>
              <w:t>3.4%</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line="240" w:lineRule="auto"/>
              <w:jc w:val="right"/>
              <w:rPr>
                <w:rFonts w:ascii="Calibri" w:eastAsia="Times New Roman" w:hAnsi="Calibri"/>
                <w:b/>
                <w:color w:val="000000"/>
                <w:sz w:val="22"/>
                <w:szCs w:val="22"/>
              </w:rPr>
            </w:pPr>
            <w:r w:rsidRPr="000F09B3">
              <w:rPr>
                <w:rFonts w:ascii="Calibri" w:eastAsia="Times New Roman" w:hAnsi="Calibri"/>
                <w:b/>
                <w:color w:val="000000"/>
                <w:sz w:val="22"/>
                <w:szCs w:val="22"/>
              </w:rPr>
              <w:t>6.4%</w:t>
            </w:r>
          </w:p>
        </w:tc>
      </w:tr>
      <w:tr w:rsidR="000452CE" w:rsidRPr="003665D6" w:rsidTr="008F5E45">
        <w:trPr>
          <w:trHeight w:val="20"/>
        </w:trPr>
        <w:tc>
          <w:tcPr>
            <w:tcW w:w="1269" w:type="dxa"/>
            <w:tcBorders>
              <w:top w:val="nil"/>
              <w:left w:val="single" w:sz="4" w:space="0" w:color="auto"/>
              <w:bottom w:val="single" w:sz="4" w:space="0" w:color="auto"/>
              <w:right w:val="single" w:sz="4" w:space="0" w:color="auto"/>
            </w:tcBorders>
            <w:shd w:val="clear" w:color="auto" w:fill="auto"/>
            <w:hideMark/>
          </w:tcPr>
          <w:p w:rsidR="000452CE" w:rsidRPr="000F09B3" w:rsidRDefault="000452CE" w:rsidP="008F5E45">
            <w:pPr>
              <w:spacing w:after="0"/>
              <w:rPr>
                <w:rFonts w:ascii="Calibri" w:hAnsi="Calibri"/>
                <w:b/>
                <w:sz w:val="22"/>
                <w:szCs w:val="22"/>
              </w:rPr>
            </w:pPr>
            <w:r w:rsidRPr="000F09B3">
              <w:rPr>
                <w:rFonts w:ascii="Calibri" w:hAnsi="Calibri"/>
                <w:b/>
                <w:sz w:val="22"/>
                <w:szCs w:val="22"/>
              </w:rPr>
              <w:t>Total</w:t>
            </w:r>
          </w:p>
        </w:tc>
        <w:tc>
          <w:tcPr>
            <w:tcW w:w="769"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jc w:val="right"/>
              <w:rPr>
                <w:rFonts w:ascii="Calibri" w:hAnsi="Calibri"/>
                <w:b/>
                <w:sz w:val="22"/>
                <w:szCs w:val="22"/>
              </w:rPr>
            </w:pPr>
            <w:r w:rsidRPr="000F09B3">
              <w:rPr>
                <w:rFonts w:ascii="Calibri" w:hAnsi="Calibri"/>
                <w:b/>
                <w:sz w:val="22"/>
                <w:szCs w:val="22"/>
              </w:rPr>
              <w:t>13.5%</w:t>
            </w:r>
          </w:p>
        </w:tc>
        <w:tc>
          <w:tcPr>
            <w:tcW w:w="997"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jc w:val="right"/>
              <w:rPr>
                <w:rFonts w:ascii="Calibri" w:hAnsi="Calibri"/>
                <w:b/>
                <w:sz w:val="22"/>
                <w:szCs w:val="22"/>
              </w:rPr>
            </w:pPr>
            <w:r w:rsidRPr="000F09B3">
              <w:rPr>
                <w:rFonts w:ascii="Calibri" w:hAnsi="Calibri"/>
                <w:b/>
                <w:sz w:val="22"/>
                <w:szCs w:val="22"/>
              </w:rPr>
              <w:t>13.9%</w:t>
            </w:r>
          </w:p>
        </w:tc>
        <w:tc>
          <w:tcPr>
            <w:tcW w:w="764"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jc w:val="right"/>
              <w:rPr>
                <w:rFonts w:ascii="Calibri" w:hAnsi="Calibri"/>
                <w:b/>
                <w:sz w:val="22"/>
                <w:szCs w:val="22"/>
              </w:rPr>
            </w:pPr>
            <w:r w:rsidRPr="000F09B3">
              <w:rPr>
                <w:rFonts w:ascii="Calibri" w:hAnsi="Calibri"/>
                <w:b/>
                <w:sz w:val="22"/>
                <w:szCs w:val="22"/>
              </w:rPr>
              <w:t>8.1%</w:t>
            </w:r>
          </w:p>
        </w:tc>
        <w:tc>
          <w:tcPr>
            <w:tcW w:w="1001" w:type="dxa"/>
            <w:tcBorders>
              <w:top w:val="nil"/>
              <w:left w:val="nil"/>
              <w:bottom w:val="single" w:sz="4" w:space="0" w:color="auto"/>
              <w:right w:val="single" w:sz="4" w:space="0" w:color="auto"/>
            </w:tcBorders>
            <w:shd w:val="clear" w:color="auto" w:fill="auto"/>
            <w:noWrap/>
            <w:vAlign w:val="center"/>
            <w:hideMark/>
          </w:tcPr>
          <w:p w:rsidR="000452CE" w:rsidRPr="000F09B3" w:rsidRDefault="000452CE" w:rsidP="008F5E45">
            <w:pPr>
              <w:spacing w:after="0"/>
              <w:jc w:val="right"/>
              <w:rPr>
                <w:rFonts w:ascii="Calibri" w:hAnsi="Calibri"/>
                <w:b/>
                <w:sz w:val="22"/>
                <w:szCs w:val="22"/>
              </w:rPr>
            </w:pPr>
            <w:r w:rsidRPr="000F09B3">
              <w:rPr>
                <w:rFonts w:ascii="Calibri" w:hAnsi="Calibri"/>
                <w:b/>
                <w:sz w:val="22"/>
                <w:szCs w:val="22"/>
              </w:rPr>
              <w:t>7.4%</w:t>
            </w:r>
          </w:p>
        </w:tc>
      </w:tr>
    </w:tbl>
    <w:p w:rsidR="000452CE" w:rsidRDefault="000452CE" w:rsidP="000452CE">
      <w:r>
        <w:t xml:space="preserve">As with Table 7, Table 8 </w:t>
      </w:r>
      <w:r w:rsidRPr="003665D6">
        <w:t xml:space="preserve">shows that the </w:t>
      </w:r>
      <w:r>
        <w:t>gendered poverty</w:t>
      </w:r>
      <w:r w:rsidRPr="003665D6">
        <w:t xml:space="preserve"> gap widens in the retirement years with 7.1% of </w:t>
      </w:r>
      <w:r>
        <w:t xml:space="preserve">senior </w:t>
      </w:r>
      <w:r w:rsidRPr="003665D6">
        <w:t xml:space="preserve">women vs. 3.0% of </w:t>
      </w:r>
      <w:r>
        <w:t xml:space="preserve">senior </w:t>
      </w:r>
      <w:r w:rsidRPr="003665D6">
        <w:t xml:space="preserve">men with disabilities living in low income households. There is also a </w:t>
      </w:r>
      <w:r>
        <w:t>poverty</w:t>
      </w:r>
      <w:r w:rsidRPr="003665D6">
        <w:t xml:space="preserve"> gap in the retirement years for women without disabilities, among whom 6.4% vs. 3.4% of men live in low income households.</w:t>
      </w:r>
    </w:p>
    <w:p w:rsidR="000452CE" w:rsidRPr="003665D6" w:rsidRDefault="000452CE" w:rsidP="000452CE"/>
    <w:p w:rsidR="000452CE" w:rsidRDefault="000452CE" w:rsidP="000452CE">
      <w:pPr>
        <w:jc w:val="center"/>
        <w:rPr>
          <w:noProof/>
        </w:rPr>
      </w:pPr>
      <w:r w:rsidRPr="00F01BBF">
        <w:rPr>
          <w:noProof/>
        </w:rPr>
        <w:object w:dxaOrig="7195" w:dyaOrig="4322">
          <v:shape id="_x0000_i1027" type="#_x0000_t75" style="width:5in;height:3in" o:ole="">
            <v:imagedata r:id="rId25" o:title=""/>
            <o:lock v:ext="edit" aspectratio="f"/>
          </v:shape>
          <o:OLEObject Type="Embed" ProgID="Excel.Sheet.8" ShapeID="_x0000_i1027" DrawAspect="Content" ObjectID="_1444740565" r:id="rId26">
            <o:FieldCodes>\s</o:FieldCodes>
          </o:OLEObject>
        </w:object>
      </w:r>
    </w:p>
    <w:p w:rsidR="00A601D5" w:rsidRPr="009545BB" w:rsidRDefault="00E019B9" w:rsidP="009545BB">
      <w:pPr>
        <w:pStyle w:val="Heading3"/>
        <w:rPr>
          <w:rFonts w:eastAsia="Calibri"/>
        </w:rPr>
      </w:pPr>
      <w:bookmarkStart w:id="58" w:name="_Toc354137009"/>
      <w:bookmarkStart w:id="59" w:name="_Toc354137364"/>
      <w:bookmarkStart w:id="60" w:name="_Toc361342911"/>
      <w:r>
        <w:rPr>
          <w:rFonts w:eastAsia="Calibri"/>
        </w:rPr>
        <w:t>Poor</w:t>
      </w:r>
      <w:r w:rsidR="00A601D5" w:rsidRPr="009545BB">
        <w:rPr>
          <w:rFonts w:eastAsia="Calibri"/>
        </w:rPr>
        <w:t xml:space="preserve"> Men and Women Overall</w:t>
      </w:r>
      <w:bookmarkEnd w:id="58"/>
      <w:bookmarkEnd w:id="59"/>
      <w:bookmarkEnd w:id="60"/>
      <w:r w:rsidR="00A601D5" w:rsidRPr="009545BB">
        <w:rPr>
          <w:rFonts w:eastAsia="Calibri"/>
        </w:rPr>
        <w:t xml:space="preserve"> </w:t>
      </w:r>
    </w:p>
    <w:p w:rsidR="00A601D5" w:rsidRPr="003665D6" w:rsidRDefault="00A601D5" w:rsidP="00A601D5">
      <w:r w:rsidRPr="003665D6">
        <w:t xml:space="preserve">Looking at the general income picture on Table </w:t>
      </w:r>
      <w:r w:rsidR="00A946D6" w:rsidRPr="003665D6">
        <w:t>A3</w:t>
      </w:r>
      <w:r w:rsidRPr="003665D6">
        <w:t>a, regardless of the age and gender of low income people with disabilities, seven dollars in ten (70.5%) are from various government transfers and three (29.5%) from market income. For low income people without disabilities</w:t>
      </w:r>
      <w:r w:rsidR="006A7CC9">
        <w:t xml:space="preserve"> the situation is almost reversed:</w:t>
      </w:r>
      <w:r w:rsidRPr="003665D6">
        <w:t xml:space="preserve"> Appendix Table </w:t>
      </w:r>
      <w:r w:rsidR="00A946D6" w:rsidRPr="003665D6">
        <w:t>A3</w:t>
      </w:r>
      <w:r w:rsidRPr="003665D6">
        <w:t xml:space="preserve">b shows that market income </w:t>
      </w:r>
      <w:r w:rsidR="006A7CC9">
        <w:t>accounts for</w:t>
      </w:r>
      <w:r w:rsidRPr="003665D6">
        <w:t xml:space="preserve"> two-thirds (66.3%) and transfers a third (33.7%) of their total income on average.</w:t>
      </w:r>
    </w:p>
    <w:p w:rsidR="00A601D5" w:rsidRPr="003665D6" w:rsidRDefault="00A601D5" w:rsidP="00A601D5">
      <w:pPr>
        <w:numPr>
          <w:ilvl w:val="0"/>
          <w:numId w:val="1"/>
        </w:numPr>
      </w:pPr>
      <w:r w:rsidRPr="003665D6">
        <w:t xml:space="preserve">Transfers make up 75.5% of the income of low income women with disabilities compared with 63.1% that of their male counterparts (Appendix Table </w:t>
      </w:r>
      <w:r w:rsidR="00A946D6" w:rsidRPr="003665D6">
        <w:t>A3</w:t>
      </w:r>
      <w:r w:rsidRPr="003665D6">
        <w:t xml:space="preserve">a). In contrast, transfers make up 50.3% of the incomes of low income women without disabilities compared with 80.5% of their male counterparts’ (Appendix Table </w:t>
      </w:r>
      <w:r w:rsidR="00A946D6" w:rsidRPr="003665D6">
        <w:t>A3</w:t>
      </w:r>
      <w:r w:rsidRPr="003665D6">
        <w:t>b).</w:t>
      </w:r>
    </w:p>
    <w:p w:rsidR="00A601D5" w:rsidRPr="003665D6" w:rsidRDefault="00A601D5" w:rsidP="00A601D5">
      <w:pPr>
        <w:numPr>
          <w:ilvl w:val="0"/>
          <w:numId w:val="1"/>
        </w:numPr>
      </w:pPr>
      <w:r w:rsidRPr="003665D6">
        <w:t xml:space="preserve">Provincial social assistance is the largest component of transfer income for low income people with disabilities and makes up three dollars in ten (29.6%) of their incomes (Appendix Table </w:t>
      </w:r>
      <w:r w:rsidR="00A946D6" w:rsidRPr="003665D6">
        <w:t>A3</w:t>
      </w:r>
      <w:r w:rsidRPr="003665D6">
        <w:t xml:space="preserve">a). Provincial social assistance accounts for only nine cents on the dollar (9.3%) of the income of </w:t>
      </w:r>
      <w:r w:rsidR="009545BB">
        <w:t xml:space="preserve">poor </w:t>
      </w:r>
      <w:r w:rsidRPr="003665D6">
        <w:t xml:space="preserve">people without disabilities (Appendix Table </w:t>
      </w:r>
      <w:r w:rsidR="00A946D6" w:rsidRPr="003665D6">
        <w:t>A3</w:t>
      </w:r>
      <w:r w:rsidRPr="003665D6">
        <w:t>b).</w:t>
      </w:r>
    </w:p>
    <w:p w:rsidR="00A601D5" w:rsidRPr="003665D6" w:rsidRDefault="00A601D5" w:rsidP="00A601D5">
      <w:pPr>
        <w:numPr>
          <w:ilvl w:val="0"/>
          <w:numId w:val="1"/>
        </w:numPr>
      </w:pPr>
      <w:r w:rsidRPr="003665D6">
        <w:t xml:space="preserve">Salaries and wages are the largest component of market incomes and comprise 19.7% of the total low income of people with disabilities (Appendix Table </w:t>
      </w:r>
      <w:r w:rsidR="00A946D6" w:rsidRPr="003665D6">
        <w:t>A3</w:t>
      </w:r>
      <w:r w:rsidR="009545BB">
        <w:t xml:space="preserve">a) and 55.2% among poor people </w:t>
      </w:r>
      <w:r w:rsidRPr="003665D6">
        <w:t xml:space="preserve">without disabilities (Appendix Table </w:t>
      </w:r>
      <w:r w:rsidR="00A946D6" w:rsidRPr="003665D6">
        <w:t>A3</w:t>
      </w:r>
      <w:r w:rsidRPr="003665D6">
        <w:t>b).</w:t>
      </w:r>
    </w:p>
    <w:p w:rsidR="00A601D5" w:rsidRDefault="00A75CEA" w:rsidP="00A601D5">
      <w:pPr>
        <w:pStyle w:val="Heading3"/>
      </w:pPr>
      <w:bookmarkStart w:id="61" w:name="_Toc354137011"/>
      <w:bookmarkStart w:id="62" w:name="_Toc354137366"/>
      <w:bookmarkStart w:id="63" w:name="_Toc361342912"/>
      <w:r>
        <w:lastRenderedPageBreak/>
        <w:t xml:space="preserve">... Poor </w:t>
      </w:r>
      <w:r w:rsidR="00A86E80">
        <w:t xml:space="preserve">Working-Age </w:t>
      </w:r>
      <w:r>
        <w:t>People</w:t>
      </w:r>
      <w:r w:rsidR="0013070B">
        <w:t xml:space="preserve"> w</w:t>
      </w:r>
      <w:r w:rsidR="00A601D5">
        <w:t>ith Disabilities</w:t>
      </w:r>
      <w:bookmarkEnd w:id="61"/>
      <w:bookmarkEnd w:id="62"/>
      <w:bookmarkEnd w:id="63"/>
    </w:p>
    <w:p w:rsidR="00A601D5" w:rsidRPr="003665D6" w:rsidRDefault="00A601D5" w:rsidP="00A601D5">
      <w:r w:rsidRPr="003665D6">
        <w:t xml:space="preserve">Unless indicated otherwise, this section of the report draws from Appendix Table </w:t>
      </w:r>
      <w:r w:rsidR="00A946D6" w:rsidRPr="003665D6">
        <w:t>A3</w:t>
      </w:r>
      <w:r w:rsidRPr="003665D6">
        <w:t>a</w:t>
      </w:r>
      <w:r w:rsidR="00A86E80">
        <w:t xml:space="preserve"> and generally focuses on people </w:t>
      </w:r>
      <w:r w:rsidR="00843426">
        <w:t xml:space="preserve">with disabilities </w:t>
      </w:r>
      <w:r w:rsidR="00A86E80">
        <w:t>16 to 64 years of age</w:t>
      </w:r>
      <w:r w:rsidRPr="003665D6">
        <w:t>.</w:t>
      </w:r>
    </w:p>
    <w:p w:rsidR="00A601D5" w:rsidRPr="003665D6" w:rsidRDefault="00A601D5" w:rsidP="00A601D5">
      <w:pPr>
        <w:numPr>
          <w:ilvl w:val="0"/>
          <w:numId w:val="4"/>
        </w:numPr>
      </w:pPr>
      <w:r w:rsidRPr="003665D6">
        <w:t>Overall and regardless of gender, the general pattern is for government transfers to make up an increasing share of the income</w:t>
      </w:r>
      <w:r w:rsidR="00D44CD7">
        <w:t xml:space="preserve"> of poor</w:t>
      </w:r>
      <w:r w:rsidRPr="003665D6">
        <w:t xml:space="preserve"> people with disabilities as they get older.</w:t>
      </w:r>
    </w:p>
    <w:p w:rsidR="00A601D5" w:rsidRPr="003665D6" w:rsidRDefault="00A601D5" w:rsidP="00A601D5">
      <w:pPr>
        <w:numPr>
          <w:ilvl w:val="1"/>
          <w:numId w:val="4"/>
        </w:numPr>
      </w:pPr>
      <w:r w:rsidRPr="003665D6">
        <w:t xml:space="preserve">That pattern holds up for men </w:t>
      </w:r>
      <w:r w:rsidR="006A7CC9">
        <w:t xml:space="preserve">with disabilities </w:t>
      </w:r>
      <w:r w:rsidRPr="003665D6">
        <w:t xml:space="preserve">but reverses somewhat for women </w:t>
      </w:r>
      <w:r w:rsidR="006A7CC9">
        <w:t xml:space="preserve">with disabilities </w:t>
      </w:r>
      <w:r w:rsidRPr="003665D6">
        <w:t xml:space="preserve">55 to 64 years of age. Among the latter, there is a decrease in the percentage of transfer income to 69.4% compared with 77.9% among women 45 to 54 years of age. </w:t>
      </w:r>
    </w:p>
    <w:p w:rsidR="00A601D5" w:rsidRPr="003665D6" w:rsidRDefault="00A601D5" w:rsidP="00A601D5">
      <w:pPr>
        <w:numPr>
          <w:ilvl w:val="0"/>
          <w:numId w:val="4"/>
        </w:numPr>
      </w:pPr>
      <w:r w:rsidRPr="003665D6">
        <w:t xml:space="preserve">Overall, youth with disabilities and low incomes are less likely than their older counterparts to have government transfer incomes, but there are some gendered differences: </w:t>
      </w:r>
    </w:p>
    <w:p w:rsidR="00A57059" w:rsidRDefault="00D44CD7" w:rsidP="00A57059">
      <w:pPr>
        <w:numPr>
          <w:ilvl w:val="1"/>
          <w:numId w:val="4"/>
        </w:numPr>
      </w:pPr>
      <w:r>
        <w:t xml:space="preserve">28.0% </w:t>
      </w:r>
      <w:r w:rsidR="00A601D5" w:rsidRPr="003665D6">
        <w:t xml:space="preserve">of the income of </w:t>
      </w:r>
      <w:r w:rsidR="006A7CC9">
        <w:t xml:space="preserve">poor </w:t>
      </w:r>
      <w:r w:rsidR="00A601D5" w:rsidRPr="003665D6">
        <w:t xml:space="preserve">young men 16 to 29 years </w:t>
      </w:r>
      <w:r w:rsidR="006A7CC9">
        <w:t xml:space="preserve">with disabilities </w:t>
      </w:r>
      <w:r w:rsidR="00A601D5" w:rsidRPr="003665D6">
        <w:t>consists of transfer income compared with more than half of the income (53.4%) of their female counterparts.</w:t>
      </w:r>
      <w:r w:rsidR="00A57059">
        <w:t xml:space="preserve"> </w:t>
      </w:r>
    </w:p>
    <w:p w:rsidR="00A601D5" w:rsidRPr="003665D6" w:rsidRDefault="00A57059" w:rsidP="00A57059">
      <w:pPr>
        <w:numPr>
          <w:ilvl w:val="1"/>
          <w:numId w:val="4"/>
        </w:numPr>
      </w:pPr>
      <w:r w:rsidRPr="00A57059">
        <w:t>Poor young women with disabilities are nearly twice as likely as their male counterparts to receive social assistance (23.3% vs. 14.4%) and three times more likely than non-disabled poor young women (8.3%</w:t>
      </w:r>
      <w:r>
        <w:t xml:space="preserve"> – Appendix Table A3b)</w:t>
      </w:r>
      <w:r w:rsidRPr="00A57059">
        <w:t>.</w:t>
      </w:r>
    </w:p>
    <w:p w:rsidR="00A601D5" w:rsidRPr="003665D6" w:rsidRDefault="00A601D5" w:rsidP="00A601D5">
      <w:pPr>
        <w:numPr>
          <w:ilvl w:val="0"/>
          <w:numId w:val="4"/>
        </w:numPr>
      </w:pPr>
      <w:r w:rsidRPr="003665D6">
        <w:t>A much larger share of the low income of women than men with disabilities consists of federal and provincial child benefits, with, most notably, more than a third of the income (29.1%) of these women 30 to 44 years consisting of child benefits compared with only 0.8% among their male counterparts.</w:t>
      </w:r>
    </w:p>
    <w:p w:rsidR="00A601D5" w:rsidRPr="003665D6" w:rsidRDefault="00A601D5" w:rsidP="00A601D5">
      <w:pPr>
        <w:numPr>
          <w:ilvl w:val="0"/>
          <w:numId w:val="4"/>
        </w:numPr>
      </w:pPr>
      <w:r w:rsidRPr="003665D6">
        <w:t xml:space="preserve">In contrast, nearly twice the proportion of the average low income of men 55 to 64 years with disabilities is made up of C/QPP benefits as compared with their women counterparts (26.7% vs. 15.4%). </w:t>
      </w:r>
    </w:p>
    <w:p w:rsidR="00A601D5" w:rsidRPr="003665D6" w:rsidRDefault="00A601D5" w:rsidP="00A601D5">
      <w:pPr>
        <w:numPr>
          <w:ilvl w:val="0"/>
          <w:numId w:val="4"/>
        </w:numPr>
      </w:pPr>
      <w:r w:rsidRPr="003665D6">
        <w:t xml:space="preserve">A greater share of the low income of men with disabilities younger than 45 years consists of wages and salaries compared with their female counterparts, </w:t>
      </w:r>
      <w:r w:rsidR="006A7CC9">
        <w:t>i.e.,</w:t>
      </w:r>
      <w:r w:rsidRPr="003665D6">
        <w:t xml:space="preserve"> 55.7% vs. 30.3% among youth 16 to 29 years and 30.3% vs. 20.1% who are 30 to 44 years. In contrast, a greater share of the low income of women with disabilities 45 to 64 years is from wages and salaries, </w:t>
      </w:r>
      <w:r w:rsidR="006A7CC9">
        <w:t>i.e.,</w:t>
      </w:r>
      <w:r w:rsidRPr="003665D6">
        <w:t xml:space="preserve"> 16.7% vs. 12.6% among people 45 to 54 years and 14.3% vs. 7.7% among those 55 to 64 years.</w:t>
      </w:r>
    </w:p>
    <w:p w:rsidR="00A601D5" w:rsidRPr="003665D6" w:rsidRDefault="00A601D5" w:rsidP="00A601D5">
      <w:pPr>
        <w:numPr>
          <w:ilvl w:val="0"/>
          <w:numId w:val="4"/>
        </w:numPr>
      </w:pPr>
      <w:r w:rsidRPr="003665D6">
        <w:lastRenderedPageBreak/>
        <w:t>As the share of income from wages and salaries decreases in the working years for low income men and women with disabilities, their share of income from the Canada/Quebec Pension Plans – which includes Disability Benefits in SLID – increases. Inability to regularly pursue any substantially gainful occupation is a key eligibility criterion for access to the CPP disability benefit  (Service Canada, 2013</w:t>
      </w:r>
      <w:r w:rsidR="008F1502">
        <w:t>a</w:t>
      </w:r>
      <w:r w:rsidR="005066D4" w:rsidRPr="003665D6">
        <w:t>)</w:t>
      </w:r>
      <w:r w:rsidRPr="003665D6">
        <w:t xml:space="preserve"> and inability to work even part-time for more than $14,554 (in 2013) is a key criterion for access to the QPP disability benefit (Régie des rentes du Québec, </w:t>
      </w:r>
      <w:r w:rsidR="00151144">
        <w:t>2013a</w:t>
      </w:r>
      <w:r w:rsidR="005066D4" w:rsidRPr="003665D6">
        <w:t>)</w:t>
      </w:r>
      <w:r w:rsidRPr="003665D6">
        <w:t>. Some of the increase may also reflect people taking early retirement and accessing regular C/QPP retirement benefits.</w:t>
      </w:r>
    </w:p>
    <w:p w:rsidR="00A601D5" w:rsidRPr="003665D6" w:rsidRDefault="00A601D5" w:rsidP="00A601D5">
      <w:pPr>
        <w:numPr>
          <w:ilvl w:val="0"/>
          <w:numId w:val="4"/>
        </w:numPr>
      </w:pPr>
      <w:r w:rsidRPr="003665D6">
        <w:t>On average, very little of the low total incomes of working-age people with disabilities is from the Employment Insurance program. Regardless of age group, however, a greater share of the total low income of disabled men than women is from EI, with nearly five times as much income from this source among men than women 45 to 54 years (7.1% vs. 1.5%).</w:t>
      </w:r>
    </w:p>
    <w:p w:rsidR="00A601D5" w:rsidRDefault="00A75CEA" w:rsidP="00A601D5">
      <w:pPr>
        <w:pStyle w:val="Heading3"/>
      </w:pPr>
      <w:bookmarkStart w:id="64" w:name="_Toc354137012"/>
      <w:bookmarkStart w:id="65" w:name="_Toc354137367"/>
      <w:bookmarkStart w:id="66" w:name="_Toc361342913"/>
      <w:r>
        <w:t xml:space="preserve">... Poor </w:t>
      </w:r>
      <w:r w:rsidR="00A86E80">
        <w:t xml:space="preserve">Working-Age </w:t>
      </w:r>
      <w:r>
        <w:t>People</w:t>
      </w:r>
      <w:r w:rsidR="0013070B">
        <w:t xml:space="preserve"> w</w:t>
      </w:r>
      <w:r w:rsidR="00A601D5">
        <w:t>ithout Disabilities</w:t>
      </w:r>
      <w:bookmarkEnd w:id="64"/>
      <w:bookmarkEnd w:id="65"/>
      <w:bookmarkEnd w:id="66"/>
    </w:p>
    <w:p w:rsidR="00A601D5" w:rsidRPr="00A573EF" w:rsidRDefault="00A601D5" w:rsidP="00A601D5">
      <w:r w:rsidRPr="00A573EF">
        <w:t xml:space="preserve">Unless stated otherwise, this section of the report draws from Appendix Table </w:t>
      </w:r>
      <w:r w:rsidR="00A946D6" w:rsidRPr="00A573EF">
        <w:t>A3</w:t>
      </w:r>
      <w:r w:rsidRPr="00A573EF">
        <w:t>b</w:t>
      </w:r>
      <w:r w:rsidR="00A86E80">
        <w:t xml:space="preserve"> and generally focuses on people</w:t>
      </w:r>
      <w:r w:rsidR="00843426">
        <w:t xml:space="preserve"> without disabilities</w:t>
      </w:r>
      <w:r w:rsidR="00A86E80">
        <w:t xml:space="preserve"> 16 to 64 years of age</w:t>
      </w:r>
      <w:r w:rsidRPr="00A573EF">
        <w:t>.</w:t>
      </w:r>
    </w:p>
    <w:p w:rsidR="00A601D5" w:rsidRPr="00A573EF" w:rsidRDefault="00A601D5" w:rsidP="00A601D5">
      <w:pPr>
        <w:numPr>
          <w:ilvl w:val="0"/>
          <w:numId w:val="5"/>
        </w:numPr>
      </w:pPr>
      <w:r w:rsidRPr="00A573EF">
        <w:t>Regardless of gender, the income mix is more ‘curved’ for low income people without disabilities than for their counterparts with disabilities. For the former the largest share of income from government transfers is in the 30 to 44 age group at 40.4%. The share is lower on either side of that age group until the retirement years 65 and older. There are some gendered differences in that pattern:</w:t>
      </w:r>
    </w:p>
    <w:p w:rsidR="00A601D5" w:rsidRPr="00A573EF" w:rsidRDefault="00A601D5" w:rsidP="00A601D5">
      <w:pPr>
        <w:numPr>
          <w:ilvl w:val="1"/>
          <w:numId w:val="5"/>
        </w:numPr>
      </w:pPr>
      <w:r w:rsidRPr="00A573EF">
        <w:t>For low income men with</w:t>
      </w:r>
      <w:r w:rsidR="006A7CC9">
        <w:t>out</w:t>
      </w:r>
      <w:r w:rsidRPr="00A573EF">
        <w:t xml:space="preserve"> disabilities, government transfers make up a fairly constant share of total income (about a fifth) from age 30 to retirement, beyond which the transfers make up most of their income (90.5%).</w:t>
      </w:r>
    </w:p>
    <w:p w:rsidR="00A601D5" w:rsidRPr="00A573EF" w:rsidRDefault="00A601D5" w:rsidP="00A601D5">
      <w:pPr>
        <w:numPr>
          <w:ilvl w:val="1"/>
          <w:numId w:val="5"/>
        </w:numPr>
      </w:pPr>
      <w:r w:rsidRPr="00A573EF">
        <w:t>For their female counterparts the picture is more fluid: government transfers account for three times the share of income among low income women than men without disabilities 16 to 29 years (31.5% vs. 10.2% for youn</w:t>
      </w:r>
      <w:r w:rsidR="00F34BB1">
        <w:t>g men), then make up most of poor non-disabled women’s</w:t>
      </w:r>
      <w:r w:rsidRPr="00A573EF">
        <w:t xml:space="preserve"> income in the 30 to 44 age group (57.7%) and more than a third of income thereafter until the retirement years when, like </w:t>
      </w:r>
      <w:r w:rsidR="00F34BB1">
        <w:t>poor</w:t>
      </w:r>
      <w:r w:rsidRPr="00A573EF">
        <w:t xml:space="preserve"> men without disabilities, government transfers make up a very large share of income ( 93.8% vs. 90.5%).</w:t>
      </w:r>
    </w:p>
    <w:p w:rsidR="00A601D5" w:rsidRPr="00A573EF" w:rsidRDefault="00A601D5" w:rsidP="00A601D5">
      <w:pPr>
        <w:numPr>
          <w:ilvl w:val="0"/>
          <w:numId w:val="5"/>
        </w:numPr>
      </w:pPr>
      <w:r w:rsidRPr="00A573EF">
        <w:lastRenderedPageBreak/>
        <w:t xml:space="preserve">As with low income women with disabilities, a larger share of non-disabled </w:t>
      </w:r>
      <w:r w:rsidR="00F34BB1">
        <w:t xml:space="preserve">poor </w:t>
      </w:r>
      <w:r w:rsidRPr="00A573EF">
        <w:t>women’s than men’s income consists of federal and provincial child benefits, most notably with about a third of the total made up of such income (32.8%) in the 30 to 44 age group vs. only 1.7% among their male counterparts.</w:t>
      </w:r>
    </w:p>
    <w:p w:rsidR="00A601D5" w:rsidRPr="00A573EF" w:rsidRDefault="00F34BB1" w:rsidP="00A601D5">
      <w:pPr>
        <w:numPr>
          <w:ilvl w:val="0"/>
          <w:numId w:val="5"/>
        </w:numPr>
      </w:pPr>
      <w:r>
        <w:t>As with poor</w:t>
      </w:r>
      <w:r w:rsidR="00A601D5" w:rsidRPr="00A573EF">
        <w:t xml:space="preserve"> people with disabilities, relatively little of the total low income of people without disabilities is from EI, with about twice the share among working-age men than women.</w:t>
      </w:r>
    </w:p>
    <w:p w:rsidR="00A601D5" w:rsidRPr="00A573EF" w:rsidRDefault="00A601D5" w:rsidP="00A601D5">
      <w:pPr>
        <w:numPr>
          <w:ilvl w:val="0"/>
          <w:numId w:val="5"/>
        </w:numPr>
      </w:pPr>
      <w:r w:rsidRPr="00A573EF">
        <w:t>The reasons are not immediately clear for the jump in the share of C/QPP income among non-disabled</w:t>
      </w:r>
      <w:r w:rsidR="00F34BB1">
        <w:t xml:space="preserve"> poor</w:t>
      </w:r>
      <w:r w:rsidRPr="00A573EF">
        <w:t xml:space="preserve"> women 55 to 64 years and why such income comprises an even greater share than for their male counterparts (14% vs. 8.2%). The share of income from wages and salaries among low income women without disabilities, and therefore evidence of ‘employability’, is fairly constant from 30 to 64 years of age, including in the 55 to 64 age group).</w:t>
      </w:r>
    </w:p>
    <w:p w:rsidR="00A601D5" w:rsidRDefault="00A75CEA" w:rsidP="00A601D5">
      <w:pPr>
        <w:pStyle w:val="Heading3"/>
      </w:pPr>
      <w:bookmarkStart w:id="67" w:name="_Toc354137014"/>
      <w:bookmarkStart w:id="68" w:name="_Toc354137369"/>
      <w:bookmarkStart w:id="69" w:name="_Toc361342914"/>
      <w:r>
        <w:t xml:space="preserve">... Poor </w:t>
      </w:r>
      <w:r w:rsidR="00A86E80">
        <w:t xml:space="preserve">Seniors </w:t>
      </w:r>
      <w:r w:rsidR="0013070B">
        <w:t>w</w:t>
      </w:r>
      <w:r w:rsidR="00A601D5">
        <w:t>ith Disabilities</w:t>
      </w:r>
      <w:bookmarkEnd w:id="67"/>
      <w:bookmarkEnd w:id="68"/>
      <w:bookmarkEnd w:id="69"/>
    </w:p>
    <w:p w:rsidR="00A601D5" w:rsidRPr="00A573EF" w:rsidRDefault="00A601D5" w:rsidP="00A601D5">
      <w:r w:rsidRPr="00A573EF">
        <w:t xml:space="preserve">Unless stated otherwise, this section of the report draws from Appendix Table </w:t>
      </w:r>
      <w:r w:rsidR="00A946D6" w:rsidRPr="00A573EF">
        <w:t>A3</w:t>
      </w:r>
      <w:r w:rsidRPr="00A573EF">
        <w:t>a</w:t>
      </w:r>
      <w:r w:rsidR="00843426">
        <w:t xml:space="preserve"> and focuses on seniors 65 years and older with disabilities</w:t>
      </w:r>
      <w:r w:rsidRPr="00A573EF">
        <w:t>.</w:t>
      </w:r>
    </w:p>
    <w:p w:rsidR="00A601D5" w:rsidRPr="00A573EF" w:rsidRDefault="00A601D5" w:rsidP="00A601D5">
      <w:pPr>
        <w:numPr>
          <w:ilvl w:val="0"/>
          <w:numId w:val="4"/>
        </w:numPr>
      </w:pPr>
      <w:r w:rsidRPr="00A573EF">
        <w:t xml:space="preserve">As shown on Appendix Table </w:t>
      </w:r>
      <w:r w:rsidR="00A946D6" w:rsidRPr="00A573EF">
        <w:t>A3</w:t>
      </w:r>
      <w:r w:rsidRPr="00A573EF">
        <w:t xml:space="preserve">a, compared with </w:t>
      </w:r>
      <w:r w:rsidR="00A95C60">
        <w:t xml:space="preserve">their </w:t>
      </w:r>
      <w:r w:rsidRPr="00A573EF">
        <w:t xml:space="preserve">working-age </w:t>
      </w:r>
      <w:r w:rsidR="00A95C60">
        <w:t>counterparts,</w:t>
      </w:r>
      <w:r w:rsidRPr="00A573EF">
        <w:t xml:space="preserve"> the proportion of government transfer income is much higher among low income seniors with disabilities, where transfers comprise 96.4% of total income. </w:t>
      </w:r>
    </w:p>
    <w:p w:rsidR="00A601D5" w:rsidRPr="00A573EF" w:rsidRDefault="00A601D5" w:rsidP="00A601D5">
      <w:pPr>
        <w:numPr>
          <w:ilvl w:val="0"/>
          <w:numId w:val="4"/>
        </w:numPr>
      </w:pPr>
      <w:r w:rsidRPr="00A573EF">
        <w:t>The overall share of income consisting of government transfers for low income senior men and women with disabilities is similar at 96.6% and 96.4% respectively.</w:t>
      </w:r>
    </w:p>
    <w:p w:rsidR="00A601D5" w:rsidRPr="00A573EF" w:rsidRDefault="00A601D5" w:rsidP="00A601D5">
      <w:pPr>
        <w:numPr>
          <w:ilvl w:val="0"/>
          <w:numId w:val="2"/>
        </w:numPr>
      </w:pPr>
      <w:r w:rsidRPr="00A573EF">
        <w:t xml:space="preserve">In this age group, income from the Old Age Security and the Guaranteed Income Supplement (OAS/GIS) programs make up 68.2% of the total low income of people with disabilities; the Canada and Quebec Pension Plans make up 18.7%. </w:t>
      </w:r>
    </w:p>
    <w:p w:rsidR="00A601D5" w:rsidRPr="00A573EF" w:rsidRDefault="00A601D5" w:rsidP="00A601D5">
      <w:pPr>
        <w:numPr>
          <w:ilvl w:val="0"/>
          <w:numId w:val="2"/>
        </w:numPr>
      </w:pPr>
      <w:r w:rsidRPr="00A573EF">
        <w:t>Social assistance for low income seniors with disabilities is a very low 1.5% of total income and wages and salaries virtually disappear at 0.2%.</w:t>
      </w:r>
    </w:p>
    <w:p w:rsidR="00A601D5" w:rsidRPr="00A573EF" w:rsidRDefault="00A601D5" w:rsidP="00A601D5">
      <w:pPr>
        <w:numPr>
          <w:ilvl w:val="0"/>
          <w:numId w:val="2"/>
        </w:numPr>
      </w:pPr>
      <w:r w:rsidRPr="00A573EF">
        <w:t>There are some gendered income differences:</w:t>
      </w:r>
    </w:p>
    <w:p w:rsidR="00A601D5" w:rsidRPr="00A573EF" w:rsidRDefault="00A601D5" w:rsidP="00A601D5">
      <w:pPr>
        <w:numPr>
          <w:ilvl w:val="1"/>
          <w:numId w:val="2"/>
        </w:numPr>
      </w:pPr>
      <w:r w:rsidRPr="00A573EF">
        <w:t xml:space="preserve">Low income senior men with disabilities have a greater proportion of income than their female counterparts from the C/QPP (22.8% vs. 17.5%), private pensions (6.5% vs. 2.6%) and investments (3.9% vs. 1.0%) but also </w:t>
      </w:r>
      <w:r w:rsidRPr="00A573EF">
        <w:lastRenderedPageBreak/>
        <w:t xml:space="preserve">experience a greater loss in total income resulting from self-employment (7.8% vs. 0.3%). </w:t>
      </w:r>
    </w:p>
    <w:p w:rsidR="00A601D5" w:rsidRPr="00A573EF" w:rsidRDefault="00A601D5" w:rsidP="00A601D5">
      <w:pPr>
        <w:numPr>
          <w:ilvl w:val="1"/>
          <w:numId w:val="2"/>
        </w:numPr>
      </w:pPr>
      <w:r w:rsidRPr="00A573EF">
        <w:t>Low income senior women with disabilities have a somewhat greater proportion of their total income from OAS/GIS (69% vs. 65.6%).</w:t>
      </w:r>
    </w:p>
    <w:p w:rsidR="00A601D5" w:rsidRDefault="00A75CEA" w:rsidP="00A601D5">
      <w:pPr>
        <w:pStyle w:val="Heading3"/>
      </w:pPr>
      <w:bookmarkStart w:id="70" w:name="_Toc354137015"/>
      <w:bookmarkStart w:id="71" w:name="_Toc354137370"/>
      <w:bookmarkStart w:id="72" w:name="_Toc361342915"/>
      <w:r>
        <w:t xml:space="preserve">... Poor </w:t>
      </w:r>
      <w:r w:rsidR="00A86E80">
        <w:t>Seniors</w:t>
      </w:r>
      <w:r w:rsidR="0013070B">
        <w:t xml:space="preserve"> w</w:t>
      </w:r>
      <w:r w:rsidR="00A601D5">
        <w:t>ithout Disabilities</w:t>
      </w:r>
      <w:bookmarkEnd w:id="70"/>
      <w:bookmarkEnd w:id="71"/>
      <w:bookmarkEnd w:id="72"/>
    </w:p>
    <w:p w:rsidR="00A601D5" w:rsidRPr="00A573EF" w:rsidRDefault="00A601D5" w:rsidP="00A601D5">
      <w:r w:rsidRPr="00A573EF">
        <w:t xml:space="preserve">Unless stated otherwise, this section of the report draws from Appendix Table </w:t>
      </w:r>
      <w:r w:rsidR="00A946D6" w:rsidRPr="00A573EF">
        <w:t>A3</w:t>
      </w:r>
      <w:r w:rsidRPr="00A573EF">
        <w:t>b</w:t>
      </w:r>
      <w:r w:rsidR="00843426">
        <w:t xml:space="preserve"> and focuses on seniors 65 years and older without disabilities.</w:t>
      </w:r>
    </w:p>
    <w:p w:rsidR="00A601D5" w:rsidRPr="00A573EF" w:rsidRDefault="00A601D5" w:rsidP="00A601D5">
      <w:pPr>
        <w:numPr>
          <w:ilvl w:val="0"/>
          <w:numId w:val="2"/>
        </w:numPr>
      </w:pPr>
      <w:r w:rsidRPr="00A573EF">
        <w:t xml:space="preserve">As with low income seniors with disabilities, high share of the low income of non-disabled seniors compared with their working-age counterparts is from government transfers. Overall, 92.7% is transfer </w:t>
      </w:r>
      <w:r w:rsidR="00843426">
        <w:t xml:space="preserve">income </w:t>
      </w:r>
      <w:r w:rsidRPr="00A573EF">
        <w:t>vs. 7.3% market income for these seniors.</w:t>
      </w:r>
    </w:p>
    <w:p w:rsidR="00A601D5" w:rsidRPr="00A573EF" w:rsidRDefault="00A601D5" w:rsidP="00A601D5">
      <w:pPr>
        <w:numPr>
          <w:ilvl w:val="0"/>
          <w:numId w:val="2"/>
        </w:numPr>
      </w:pPr>
      <w:r w:rsidRPr="00A573EF">
        <w:t>A slightly greater share of low income, non-disabled senior women’s income is from government transfers than among their male counterparts (93.8% vs. 90.5%). The transfer-market income split is more evenly divided among men and women seniors with disabilities.</w:t>
      </w:r>
    </w:p>
    <w:p w:rsidR="00A601D5" w:rsidRPr="00A573EF" w:rsidRDefault="00A601D5" w:rsidP="00A601D5">
      <w:pPr>
        <w:numPr>
          <w:ilvl w:val="0"/>
          <w:numId w:val="2"/>
        </w:numPr>
      </w:pPr>
      <w:r w:rsidRPr="00A573EF">
        <w:t xml:space="preserve">Income from the old age security system makes up 69.5% of the total low income of seniors without disabilities; income from the C/QPP makes up 17.3%. This breakdown is similar to that among low income seniors with disabilities shown on Appendix Table </w:t>
      </w:r>
      <w:r w:rsidR="00A946D6" w:rsidRPr="00A573EF">
        <w:t>A3</w:t>
      </w:r>
      <w:r w:rsidRPr="00A573EF">
        <w:t>a.</w:t>
      </w:r>
    </w:p>
    <w:p w:rsidR="00A601D5" w:rsidRPr="00A573EF" w:rsidRDefault="00A601D5" w:rsidP="00A601D5">
      <w:pPr>
        <w:numPr>
          <w:ilvl w:val="0"/>
          <w:numId w:val="2"/>
        </w:numPr>
      </w:pPr>
      <w:r w:rsidRPr="00A573EF">
        <w:t>Social assistance for low income seniors without disabilities comprises a very low share of all income at 0.2%, a similar pattern as with their counterparts with disabilities. Also similar is the very low share consisting of wages and salaries (0.3%).</w:t>
      </w:r>
    </w:p>
    <w:p w:rsidR="00A601D5" w:rsidRPr="00A573EF" w:rsidRDefault="00A601D5" w:rsidP="00A601D5">
      <w:pPr>
        <w:numPr>
          <w:ilvl w:val="0"/>
          <w:numId w:val="2"/>
        </w:numPr>
      </w:pPr>
      <w:r w:rsidRPr="00A573EF">
        <w:t>In terms of gendered patterns:</w:t>
      </w:r>
    </w:p>
    <w:p w:rsidR="00A601D5" w:rsidRPr="00A573EF" w:rsidRDefault="00A601D5" w:rsidP="00A601D5">
      <w:pPr>
        <w:numPr>
          <w:ilvl w:val="1"/>
          <w:numId w:val="2"/>
        </w:numPr>
      </w:pPr>
      <w:r w:rsidRPr="00A573EF">
        <w:t>Some patterns are similar to those for low income seniors with disabilities: low income senior men without disabilities have a greater share of income from C/QPP than their female counterparts (19.6% vs. 16.2%) and private pensions (10.3% vs. 3.6%); low income women without disabilities have a greater share from OAS/GIS than their male counterparts (72.2% vs. 63.6%).</w:t>
      </w:r>
    </w:p>
    <w:p w:rsidR="00A601D5" w:rsidRPr="00A573EF" w:rsidRDefault="00A601D5" w:rsidP="00A601D5">
      <w:pPr>
        <w:numPr>
          <w:ilvl w:val="1"/>
          <w:numId w:val="2"/>
        </w:numPr>
      </w:pPr>
      <w:r w:rsidRPr="00A573EF">
        <w:t xml:space="preserve">Compared with disabled </w:t>
      </w:r>
      <w:r w:rsidR="00F34BB1">
        <w:t xml:space="preserve">poor </w:t>
      </w:r>
      <w:r w:rsidRPr="00A573EF">
        <w:t xml:space="preserve">seniors, a different pattern is that </w:t>
      </w:r>
      <w:r w:rsidR="00F34BB1">
        <w:t>poor</w:t>
      </w:r>
      <w:r w:rsidRPr="00A573EF">
        <w:t xml:space="preserve"> women without disabilities have a higher share from investments than their male counterparts (2.9% vs. 1.0%) and lost marginally less money due to self-employment at 1.1% vs. 1.8% of their total income.</w:t>
      </w:r>
    </w:p>
    <w:p w:rsidR="00A3607E" w:rsidRDefault="00A3607E" w:rsidP="00A3607E"/>
    <w:p w:rsidR="004D576C" w:rsidRDefault="004D576C" w:rsidP="00A3607E">
      <w:pPr>
        <w:sectPr w:rsidR="004D576C" w:rsidSect="00D51C75">
          <w:headerReference w:type="default" r:id="rId27"/>
          <w:footerReference w:type="default" r:id="rId28"/>
          <w:pgSz w:w="12240" w:h="15840"/>
          <w:pgMar w:top="1440" w:right="1440" w:bottom="1440" w:left="1440" w:header="708" w:footer="708" w:gutter="0"/>
          <w:pgNumType w:start="1"/>
          <w:cols w:space="708"/>
          <w:docGrid w:linePitch="360"/>
        </w:sectPr>
      </w:pPr>
    </w:p>
    <w:p w:rsidR="00A3607E" w:rsidRPr="00660C01" w:rsidRDefault="00A3607E" w:rsidP="000A0E2D">
      <w:pPr>
        <w:pStyle w:val="Heading1"/>
      </w:pPr>
      <w:bookmarkStart w:id="73" w:name="_Toc361342916"/>
      <w:r w:rsidRPr="00660C01">
        <w:lastRenderedPageBreak/>
        <w:t>Conclusion</w:t>
      </w:r>
      <w:bookmarkEnd w:id="73"/>
    </w:p>
    <w:p w:rsidR="00A3607E" w:rsidRPr="00660C01" w:rsidRDefault="00A3607E" w:rsidP="00A3607E">
      <w:r w:rsidRPr="00660C01">
        <w:t xml:space="preserve">This report has provided a statistical look at the personal income sources of poor people with disabilities in Canada and has compared their situation with poor people without disabilities.  Their average income is low indeed: $10,335 in 2009 compared with $11,940 among working-age poor people without disabilities and nearly $42,000 among working-age people without disabilities whose incomes are at or above the poverty line. </w:t>
      </w:r>
    </w:p>
    <w:p w:rsidR="00A3607E" w:rsidRPr="00660C01" w:rsidRDefault="00A3607E" w:rsidP="00A3607E">
      <w:r w:rsidRPr="00660C01">
        <w:t xml:space="preserve">The single largest component of the incomes of working-age poor people with disabilities is social assistance. The single largest component of the income of their counterparts without disabilities is employment. Social assistance </w:t>
      </w:r>
      <w:r w:rsidR="000A0E2D">
        <w:t xml:space="preserve">– ‘welfare’ – </w:t>
      </w:r>
      <w:r w:rsidRPr="00660C01">
        <w:t xml:space="preserve">is supposed to function as a short-term, ‘last resort’ income stopgap to tide people over until their fortunes improve and they can return to the labour market to meet their </w:t>
      </w:r>
      <w:r>
        <w:t xml:space="preserve">own </w:t>
      </w:r>
      <w:r w:rsidR="000A0E2D">
        <w:t xml:space="preserve">and their family’s </w:t>
      </w:r>
      <w:r w:rsidRPr="00660C01">
        <w:t xml:space="preserve">financial needs. Clearly there is a discrepancy between what social assistance was historically expected to do and what it is currently doing: it has become the </w:t>
      </w:r>
      <w:r w:rsidRPr="00660C01">
        <w:rPr>
          <w:i/>
        </w:rPr>
        <w:t>de facto</w:t>
      </w:r>
      <w:r w:rsidRPr="00660C01">
        <w:t xml:space="preserve"> income security system for a great many </w:t>
      </w:r>
      <w:r>
        <w:t xml:space="preserve">working-age </w:t>
      </w:r>
      <w:r w:rsidRPr="00660C01">
        <w:t>people with disabilities.</w:t>
      </w:r>
      <w:r>
        <w:t xml:space="preserve"> Indeed, </w:t>
      </w:r>
      <w:r w:rsidR="00F34BB1">
        <w:t xml:space="preserve">SLID data indicate that </w:t>
      </w:r>
      <w:r>
        <w:t>the majority of social assistance recipients have some level</w:t>
      </w:r>
      <w:r w:rsidR="00B850FB">
        <w:t xml:space="preserve"> of disability (Appendix Table 6</w:t>
      </w:r>
      <w:r>
        <w:t>), a finding consistent with administrative data from Ontario (Ontario, 2013a and 2013b).</w:t>
      </w:r>
      <w:r>
        <w:rPr>
          <w:rStyle w:val="FootnoteReference"/>
        </w:rPr>
        <w:footnoteReference w:id="10"/>
      </w:r>
    </w:p>
    <w:p w:rsidR="00A3607E" w:rsidRPr="00660C01" w:rsidRDefault="00A3607E" w:rsidP="00A3607E">
      <w:r w:rsidRPr="00660C01">
        <w:t xml:space="preserve">The fairness and wisdom of governments using social assistance programs in this way for disabled people is questionable. People with disabilities typically face many obstacles to employment that are beyond their personal control (Crawford, 2004; Statistics Canada, 2008). </w:t>
      </w:r>
      <w:r>
        <w:t xml:space="preserve">Yet disproportionately many find themselves involved with income security programs that many experience as </w:t>
      </w:r>
      <w:r w:rsidRPr="00660C01">
        <w:t xml:space="preserve">restrictive, </w:t>
      </w:r>
      <w:r>
        <w:t xml:space="preserve">disrespectful, </w:t>
      </w:r>
      <w:r w:rsidRPr="00660C01">
        <w:t>parsimonious</w:t>
      </w:r>
      <w:r>
        <w:t xml:space="preserve"> and oppressive</w:t>
      </w:r>
      <w:r w:rsidRPr="00660C01">
        <w:t xml:space="preserve"> (Chouinard &amp; Crooks, 2005; Frazee, Gilmour &amp; Mykitiuk, 2006).</w:t>
      </w:r>
    </w:p>
    <w:p w:rsidR="00A3607E" w:rsidRPr="00660C01" w:rsidRDefault="003F6133" w:rsidP="00A3607E">
      <w:r>
        <w:t>To be sure</w:t>
      </w:r>
      <w:r w:rsidR="00A3607E" w:rsidRPr="00660C01">
        <w:t xml:space="preserve">, some </w:t>
      </w:r>
      <w:r w:rsidR="008A2F0F">
        <w:t xml:space="preserve">provincial </w:t>
      </w:r>
      <w:r w:rsidR="00A3607E" w:rsidRPr="00660C01">
        <w:t xml:space="preserve">governments have created specialized social assistance programs for people with disabilities. These include </w:t>
      </w:r>
      <w:r w:rsidR="008A2F0F">
        <w:t xml:space="preserve">Employment </w:t>
      </w:r>
      <w:r>
        <w:t>and Assurance for People with Disabilities in British Columbia</w:t>
      </w:r>
      <w:r w:rsidR="008A2F0F">
        <w:t xml:space="preserve"> (BCEA)</w:t>
      </w:r>
      <w:r>
        <w:t xml:space="preserve">, </w:t>
      </w:r>
      <w:r w:rsidR="00A3607E" w:rsidRPr="00660C01">
        <w:t xml:space="preserve">Assured Income for the Severely Handicapped </w:t>
      </w:r>
      <w:r w:rsidR="008A2F0F">
        <w:t xml:space="preserve">(AISH) </w:t>
      </w:r>
      <w:r w:rsidR="00A3607E" w:rsidRPr="00660C01">
        <w:t xml:space="preserve">in Alberta, Saskatchewan Assured Income for Disability </w:t>
      </w:r>
      <w:r w:rsidR="008A2F0F">
        <w:t xml:space="preserve">(SAID) </w:t>
      </w:r>
      <w:r w:rsidR="00A3607E" w:rsidRPr="00660C01">
        <w:t>and the Ontario Disability Support Program</w:t>
      </w:r>
      <w:r w:rsidR="008A2F0F">
        <w:t xml:space="preserve"> (ODSP)</w:t>
      </w:r>
      <w:r w:rsidR="00A3607E" w:rsidRPr="00660C01">
        <w:t xml:space="preserve">. However, getting to the bottom of how these specialized programs function for people with disabilities is problematic from a statistical research perspective. Are they more effective over time than traditional social assistance programs in helping people with disabilities move into employment? </w:t>
      </w:r>
      <w:r w:rsidR="00A3607E" w:rsidRPr="00660C01">
        <w:lastRenderedPageBreak/>
        <w:t xml:space="preserve">Do they enable people to move back and forth between employment and income support as dictated by the impacts of disability and </w:t>
      </w:r>
      <w:r w:rsidR="00A3607E">
        <w:t xml:space="preserve">the </w:t>
      </w:r>
      <w:r w:rsidR="00A3607E" w:rsidRPr="00660C01">
        <w:t xml:space="preserve">vagaries of the labour market? Are people with disabilities being administratively shifted from </w:t>
      </w:r>
      <w:r w:rsidR="00A3607E">
        <w:t>specialized</w:t>
      </w:r>
      <w:r w:rsidR="00A3607E" w:rsidRPr="00660C01">
        <w:t xml:space="preserve"> onto regular social assistance programs and lower benefit levels</w:t>
      </w:r>
      <w:r w:rsidR="00A3607E">
        <w:t xml:space="preserve"> in the interests of meeting government financial targets</w:t>
      </w:r>
      <w:r w:rsidR="00A3607E" w:rsidRPr="00660C01">
        <w:t xml:space="preserve">? </w:t>
      </w:r>
      <w:r w:rsidR="0034256E">
        <w:t xml:space="preserve">How will reforms such as those proposed for ODSP </w:t>
      </w:r>
      <w:r w:rsidR="00A74BEE">
        <w:t xml:space="preserve">(Lankin &amp; Sheikh, 2012) </w:t>
      </w:r>
      <w:r w:rsidR="0034256E">
        <w:t xml:space="preserve">work out for people with disabilities? </w:t>
      </w:r>
      <w:r w:rsidR="00752B37">
        <w:t xml:space="preserve">How are programs functioning that were introduced after SLID 2009 was released, such as SAID and BCEA, or changes that were </w:t>
      </w:r>
      <w:r w:rsidR="00C72482">
        <w:t xml:space="preserve">recently </w:t>
      </w:r>
      <w:r w:rsidR="00752B37">
        <w:t xml:space="preserve">made such as </w:t>
      </w:r>
      <w:r w:rsidR="00C72482">
        <w:t xml:space="preserve">the increase </w:t>
      </w:r>
      <w:r w:rsidR="00752B37">
        <w:t>to the AISH benefit level</w:t>
      </w:r>
      <w:r w:rsidR="009472B7">
        <w:t xml:space="preserve"> </w:t>
      </w:r>
      <w:r w:rsidR="00C16F02">
        <w:rPr>
          <w:noProof/>
        </w:rPr>
        <w:pict>
          <v:shape id="Text Box 2" o:spid="_x0000_s1093" type="#_x0000_t202" style="position:absolute;margin-left:.75pt;margin-top:102.75pt;width:185.25pt;height:291.75pt;z-index:-3;visibility:visible;mso-wrap-distance-left:9pt;mso-wrap-distance-top:0;mso-wrap-distance-right:9pt;mso-wrap-distance-bottom:0;mso-position-horizontal-relative:text;mso-position-vertical-relative:text;mso-width-relative:margin;mso-height-relative:margin;v-text-anchor:top" wrapcoords="-87 -56 -87 21600 21687 21600 21687 -56 -87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C16F02" w:rsidRPr="00A3607E" w:rsidRDefault="00C16F02" w:rsidP="00D927E7">
                  <w:pPr>
                    <w:autoSpaceDE w:val="0"/>
                    <w:autoSpaceDN w:val="0"/>
                    <w:adjustRightInd w:val="0"/>
                    <w:spacing w:after="0" w:line="240" w:lineRule="auto"/>
                    <w:jc w:val="center"/>
                    <w:rPr>
                      <w:rFonts w:ascii="Calibri" w:hAnsi="Calibri" w:cs="TimesNewRoman,Bold"/>
                      <w:b/>
                      <w:bCs/>
                    </w:rPr>
                  </w:pPr>
                  <w:r w:rsidRPr="00A3607E">
                    <w:rPr>
                      <w:rFonts w:ascii="Calibri" w:hAnsi="Calibri" w:cs="TimesNewRoman,Bold"/>
                      <w:b/>
                      <w:bCs/>
                    </w:rPr>
                    <w:t>Article 28</w:t>
                  </w:r>
                </w:p>
                <w:p w:rsidR="00C16F02" w:rsidRPr="00A3607E" w:rsidRDefault="00C16F02" w:rsidP="00D927E7">
                  <w:pPr>
                    <w:autoSpaceDE w:val="0"/>
                    <w:autoSpaceDN w:val="0"/>
                    <w:adjustRightInd w:val="0"/>
                    <w:spacing w:after="0" w:line="240" w:lineRule="auto"/>
                    <w:jc w:val="center"/>
                    <w:rPr>
                      <w:rFonts w:ascii="Calibri" w:hAnsi="Calibri" w:cs="TimesNewRoman,Bold"/>
                      <w:b/>
                      <w:bCs/>
                    </w:rPr>
                  </w:pPr>
                  <w:r w:rsidRPr="00A3607E">
                    <w:rPr>
                      <w:rFonts w:ascii="Calibri" w:hAnsi="Calibri" w:cs="TimesNewRoman,Bold"/>
                      <w:b/>
                      <w:bCs/>
                    </w:rPr>
                    <w:t>Adequate standard of living and social protection</w:t>
                  </w:r>
                </w:p>
                <w:p w:rsidR="00C16F02" w:rsidRPr="00A3607E" w:rsidRDefault="00C16F02" w:rsidP="00D927E7">
                  <w:pPr>
                    <w:autoSpaceDE w:val="0"/>
                    <w:autoSpaceDN w:val="0"/>
                    <w:adjustRightInd w:val="0"/>
                    <w:spacing w:after="0" w:line="240" w:lineRule="auto"/>
                    <w:rPr>
                      <w:rFonts w:ascii="Calibri" w:hAnsi="Calibri" w:cs="TimesNewRoman"/>
                    </w:rPr>
                  </w:pPr>
                </w:p>
                <w:p w:rsidR="00C16F02" w:rsidRPr="00A3607E" w:rsidRDefault="00C16F02" w:rsidP="00D927E7">
                  <w:pPr>
                    <w:autoSpaceDE w:val="0"/>
                    <w:autoSpaceDN w:val="0"/>
                    <w:adjustRightInd w:val="0"/>
                    <w:spacing w:after="0" w:line="240" w:lineRule="auto"/>
                    <w:rPr>
                      <w:rFonts w:ascii="Calibri" w:hAnsi="Calibri" w:cs="TimesNewRoman"/>
                    </w:rPr>
                  </w:pPr>
                  <w:r w:rsidRPr="00A3607E">
                    <w:rPr>
                      <w:rFonts w:ascii="Calibri" w:hAnsi="Calibri" w:cs="TimesNewRoman"/>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rsidR="00C16F02" w:rsidRPr="00A3607E" w:rsidRDefault="00C16F02" w:rsidP="00D927E7">
                  <w:pPr>
                    <w:autoSpaceDE w:val="0"/>
                    <w:autoSpaceDN w:val="0"/>
                    <w:adjustRightInd w:val="0"/>
                    <w:spacing w:after="0" w:line="240" w:lineRule="auto"/>
                    <w:rPr>
                      <w:rFonts w:ascii="Calibri" w:hAnsi="Calibri" w:cs="TimesNewRoman"/>
                    </w:rPr>
                  </w:pPr>
                </w:p>
                <w:p w:rsidR="00C16F02" w:rsidRPr="00A3607E" w:rsidRDefault="00C16F02" w:rsidP="00D927E7">
                  <w:pPr>
                    <w:autoSpaceDE w:val="0"/>
                    <w:autoSpaceDN w:val="0"/>
                    <w:adjustRightInd w:val="0"/>
                    <w:spacing w:after="0" w:line="240" w:lineRule="auto"/>
                    <w:jc w:val="right"/>
                    <w:rPr>
                      <w:rFonts w:ascii="Calibri" w:hAnsi="Calibri"/>
                      <w:i/>
                    </w:rPr>
                  </w:pPr>
                  <w:r w:rsidRPr="00A3607E">
                    <w:rPr>
                      <w:rFonts w:ascii="Calibri" w:hAnsi="Calibri" w:cs="TimesNewRoman"/>
                      <w:i/>
                    </w:rPr>
                    <w:t>– UN Convention on the Rights of Persons with Disabilities</w:t>
                  </w:r>
                </w:p>
              </w:txbxContent>
            </v:textbox>
            <w10:wrap type="tight"/>
          </v:shape>
        </w:pict>
      </w:r>
      <w:r w:rsidR="009472B7">
        <w:t>(Alberta Human Services, 2012)</w:t>
      </w:r>
      <w:r w:rsidR="00752B37">
        <w:t xml:space="preserve">? </w:t>
      </w:r>
      <w:r w:rsidR="00A3607E" w:rsidRPr="00660C01">
        <w:t xml:space="preserve">SLID and PALS do not shed light on these matters because they roll together into a single variable all income information about ‘social assistance’, regardless of whether the program has a specialized focus on people with disabilities. As well, even if one could place a focus on </w:t>
      </w:r>
      <w:r w:rsidR="00A3607E">
        <w:t xml:space="preserve">such </w:t>
      </w:r>
      <w:r w:rsidR="00A3607E" w:rsidRPr="00660C01">
        <w:t xml:space="preserve">specialized programs for people with disabilities, with the cancellation of the longitudinal dimension of SLID it </w:t>
      </w:r>
      <w:r w:rsidR="00A3607E">
        <w:t>remains to be seen</w:t>
      </w:r>
      <w:r w:rsidR="00A3607E" w:rsidRPr="00660C01">
        <w:t xml:space="preserve"> whether people with disabilities will be more or whether they will be less able to make transitions between employment and income support over time. </w:t>
      </w:r>
      <w:r w:rsidR="00A3607E">
        <w:t>If s</w:t>
      </w:r>
      <w:r w:rsidR="00A3607E" w:rsidRPr="00660C01">
        <w:t>ome separation of specialized from regular social assistance data would be preferable</w:t>
      </w:r>
      <w:r w:rsidR="00A3607E">
        <w:t>, so would</w:t>
      </w:r>
      <w:r w:rsidR="00A3607E" w:rsidRPr="00660C01">
        <w:t xml:space="preserve"> reinstatement of a longitudinal survey that could track income </w:t>
      </w:r>
      <w:r w:rsidR="00A3607E">
        <w:t xml:space="preserve">sources </w:t>
      </w:r>
      <w:r w:rsidR="00A3607E" w:rsidRPr="00660C01">
        <w:t>and employment patterns over time.</w:t>
      </w:r>
      <w:r w:rsidR="00EB7B9F">
        <w:t xml:space="preserve"> More urgent, however, is for governments to address the extremely low income levels (NCW, 2009) of people with disabilities who find themselves caught up in the social assistance ‘system’.</w:t>
      </w:r>
    </w:p>
    <w:p w:rsidR="00A3607E" w:rsidRPr="00660C01" w:rsidRDefault="00A3607E" w:rsidP="00A3607E">
      <w:r w:rsidRPr="00660C01">
        <w:t xml:space="preserve">Federal and provincial child benefits are important sources of income for poor women, disabled and non-disabled alike. Any thought of revising such programs needs to keep clearly in view the potentially </w:t>
      </w:r>
      <w:r w:rsidR="004E7231">
        <w:t>major</w:t>
      </w:r>
      <w:r w:rsidRPr="00660C01">
        <w:t xml:space="preserve"> implications for poor women’s incomes, particularly poor female lone parents with and without disabilities. It makes sense that disability organizations and women’s organizations </w:t>
      </w:r>
      <w:r>
        <w:t xml:space="preserve">would try to </w:t>
      </w:r>
      <w:r w:rsidRPr="00660C01">
        <w:t>become</w:t>
      </w:r>
      <w:r>
        <w:t xml:space="preserve"> more</w:t>
      </w:r>
      <w:r w:rsidRPr="00660C01">
        <w:t xml:space="preserve"> mindful of one another’s efforts to monitor and seek input to program developments on this front. That said, poor people with and without disabilities in couples with children are also significantly reliant on child benefits; cooperative efforts between their representative organizations and disability organizations make sense</w:t>
      </w:r>
      <w:r>
        <w:t xml:space="preserve"> as well</w:t>
      </w:r>
      <w:r w:rsidRPr="00660C01">
        <w:t>.</w:t>
      </w:r>
    </w:p>
    <w:p w:rsidR="00A3607E" w:rsidRPr="00660C01" w:rsidRDefault="00A3607E" w:rsidP="00A3607E">
      <w:r w:rsidRPr="00660C01">
        <w:lastRenderedPageBreak/>
        <w:t xml:space="preserve">The C/QPP is an important source of income for low income people with disabilities who are nearing retirement, particularly women. Again, attempts to reform such programs need to keep clearly in view the significant implications of further restricting eligibility or reducing benefits. As with social assistance, it is difficult to track how people are doing on the disability vs. </w:t>
      </w:r>
      <w:r>
        <w:t>regular pre-</w:t>
      </w:r>
      <w:r w:rsidRPr="00660C01">
        <w:t>retirement component of the C/QPP because</w:t>
      </w:r>
      <w:r w:rsidR="004E7231">
        <w:t>,</w:t>
      </w:r>
      <w:r w:rsidRPr="00660C01">
        <w:t xml:space="preserve"> in surveys such as SLID</w:t>
      </w:r>
      <w:r w:rsidR="004E7231">
        <w:t>,</w:t>
      </w:r>
      <w:r w:rsidRPr="00660C01">
        <w:t xml:space="preserve"> information about all such income is combined together into a single variable for the C/QPP. Some separation of the data would be preferable</w:t>
      </w:r>
      <w:r w:rsidR="004E7231">
        <w:rPr>
          <w:rStyle w:val="FootnoteReference"/>
        </w:rPr>
        <w:footnoteReference w:id="11"/>
      </w:r>
      <w:r>
        <w:t xml:space="preserve"> as would longitudinal information about people receiving these forms of </w:t>
      </w:r>
      <w:r w:rsidR="00C16F02">
        <w:rPr>
          <w:noProof/>
        </w:rPr>
        <w:pict>
          <v:shape id="_x0000_s1094" type="#_x0000_t202" style="position:absolute;margin-left:.75pt;margin-top:100.5pt;width:189pt;height:308.25pt;z-index:-2;visibility:visible;mso-wrap-distance-left:9pt;mso-wrap-distance-top:0;mso-wrap-distance-right:9pt;mso-wrap-distance-bottom:0;mso-position-horizontal-relative:text;mso-position-vertical-relative:text;mso-width-relative:margin;mso-height-relative:margin;v-text-anchor:top" wrapcoords="-87 -56 -87 21600 21687 21600 21687 -56 -87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94">
              <w:txbxContent>
                <w:p w:rsidR="00C16F02" w:rsidRPr="00A3607E" w:rsidRDefault="00C16F02" w:rsidP="00F86C53">
                  <w:pPr>
                    <w:autoSpaceDE w:val="0"/>
                    <w:autoSpaceDN w:val="0"/>
                    <w:adjustRightInd w:val="0"/>
                    <w:spacing w:after="0" w:line="240" w:lineRule="auto"/>
                    <w:jc w:val="center"/>
                    <w:rPr>
                      <w:rFonts w:ascii="Calibri" w:hAnsi="Calibri" w:cs="TimesNewRoman,Bold"/>
                      <w:b/>
                      <w:bCs/>
                    </w:rPr>
                  </w:pPr>
                  <w:r w:rsidRPr="00A3607E">
                    <w:rPr>
                      <w:rFonts w:ascii="Calibri" w:hAnsi="Calibri" w:cs="TimesNewRoman,Bold"/>
                      <w:b/>
                      <w:bCs/>
                    </w:rPr>
                    <w:t xml:space="preserve">Article </w:t>
                  </w:r>
                  <w:r>
                    <w:rPr>
                      <w:rFonts w:ascii="Calibri" w:hAnsi="Calibri" w:cs="TimesNewRoman,Bold"/>
                      <w:b/>
                      <w:bCs/>
                    </w:rPr>
                    <w:t>27</w:t>
                  </w:r>
                </w:p>
                <w:p w:rsidR="00C16F02" w:rsidRDefault="00C16F02" w:rsidP="00F86C53">
                  <w:pPr>
                    <w:autoSpaceDE w:val="0"/>
                    <w:autoSpaceDN w:val="0"/>
                    <w:adjustRightInd w:val="0"/>
                    <w:spacing w:after="0" w:line="240" w:lineRule="auto"/>
                    <w:jc w:val="center"/>
                    <w:rPr>
                      <w:rFonts w:ascii="Calibri" w:hAnsi="Calibri" w:cs="TimesNewRoman,Bold"/>
                      <w:b/>
                      <w:bCs/>
                    </w:rPr>
                  </w:pPr>
                  <w:r w:rsidRPr="00F86C53">
                    <w:rPr>
                      <w:rFonts w:ascii="Calibri" w:hAnsi="Calibri" w:cs="TimesNewRoman,Bold"/>
                      <w:b/>
                      <w:bCs/>
                    </w:rPr>
                    <w:t>Work and employment</w:t>
                  </w:r>
                </w:p>
                <w:p w:rsidR="00C16F02" w:rsidRPr="00F86C53" w:rsidRDefault="00C16F02" w:rsidP="00F86C53">
                  <w:pPr>
                    <w:autoSpaceDE w:val="0"/>
                    <w:autoSpaceDN w:val="0"/>
                    <w:adjustRightInd w:val="0"/>
                    <w:spacing w:after="0" w:line="240" w:lineRule="auto"/>
                    <w:rPr>
                      <w:rFonts w:ascii="Calibri" w:hAnsi="Calibri" w:cs="TimesNewRoman,Bold"/>
                      <w:b/>
                      <w:bCs/>
                    </w:rPr>
                  </w:pPr>
                </w:p>
                <w:p w:rsidR="00C16F02" w:rsidRDefault="00C16F02" w:rsidP="00F86C53">
                  <w:pPr>
                    <w:autoSpaceDE w:val="0"/>
                    <w:autoSpaceDN w:val="0"/>
                    <w:adjustRightInd w:val="0"/>
                    <w:spacing w:after="0" w:line="240" w:lineRule="auto"/>
                    <w:rPr>
                      <w:rFonts w:ascii="Calibri" w:hAnsi="Calibri" w:cs="TimesNewRoman,Bold"/>
                      <w:bCs/>
                    </w:rPr>
                  </w:pPr>
                  <w:r w:rsidRPr="00F86C53">
                    <w:rPr>
                      <w:rFonts w:ascii="Calibri" w:hAnsi="Calibri" w:cs="TimesNewRoman,Bold"/>
                      <w:bCs/>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work…by taking appropriate steps, including through legislation…</w:t>
                  </w:r>
                </w:p>
                <w:p w:rsidR="00C16F02" w:rsidRPr="00F86C53" w:rsidRDefault="00C16F02" w:rsidP="00F86C53">
                  <w:pPr>
                    <w:autoSpaceDE w:val="0"/>
                    <w:autoSpaceDN w:val="0"/>
                    <w:adjustRightInd w:val="0"/>
                    <w:spacing w:after="0" w:line="240" w:lineRule="auto"/>
                    <w:rPr>
                      <w:rFonts w:ascii="Calibri" w:hAnsi="Calibri" w:cs="TimesNewRoman"/>
                    </w:rPr>
                  </w:pPr>
                </w:p>
                <w:p w:rsidR="00C16F02" w:rsidRPr="00A3607E" w:rsidRDefault="00C16F02" w:rsidP="00F86C53">
                  <w:pPr>
                    <w:autoSpaceDE w:val="0"/>
                    <w:autoSpaceDN w:val="0"/>
                    <w:adjustRightInd w:val="0"/>
                    <w:spacing w:after="0" w:line="240" w:lineRule="auto"/>
                    <w:jc w:val="right"/>
                    <w:rPr>
                      <w:rFonts w:ascii="Calibri" w:hAnsi="Calibri"/>
                      <w:i/>
                    </w:rPr>
                  </w:pPr>
                  <w:r w:rsidRPr="00A3607E">
                    <w:rPr>
                      <w:rFonts w:ascii="Calibri" w:hAnsi="Calibri" w:cs="TimesNewRoman"/>
                      <w:i/>
                    </w:rPr>
                    <w:t>– UN Convention on the Rights of Persons with Disabilities</w:t>
                  </w:r>
                </w:p>
              </w:txbxContent>
            </v:textbox>
            <w10:wrap type="tight"/>
          </v:shape>
        </w:pict>
      </w:r>
      <w:r>
        <w:t>income</w:t>
      </w:r>
      <w:r w:rsidRPr="00660C01">
        <w:t>.</w:t>
      </w:r>
    </w:p>
    <w:p w:rsidR="00A3607E" w:rsidRDefault="00A3607E" w:rsidP="00A3607E">
      <w:r w:rsidRPr="00660C01">
        <w:t>For low income seniors with and without disabilities, the OAS/GIS is the largest source of income, followed next by the C/QPP. Any major tampering with these programs for low income seniors could have serious</w:t>
      </w:r>
      <w:r>
        <w:t>ly</w:t>
      </w:r>
      <w:r w:rsidRPr="00660C01">
        <w:t xml:space="preserve"> adverse economic impacts. It is in the </w:t>
      </w:r>
      <w:r w:rsidR="00D927E7">
        <w:t xml:space="preserve">mutual </w:t>
      </w:r>
      <w:r w:rsidRPr="00660C01">
        <w:t xml:space="preserve">interests of seniors’ organizations and disability organizations to monitor policy initiatives closely and seek input to program design. </w:t>
      </w:r>
    </w:p>
    <w:p w:rsidR="000F6715" w:rsidRDefault="000F6715" w:rsidP="00A3607E">
      <w:r>
        <w:t xml:space="preserve">For policy makers considering long-term employment and economic trajectories of people who find themselves marginalized from the economy early in life, the proportion of income from social assistance among youth with disabilities – particularly young women with disabilities – raises a </w:t>
      </w:r>
      <w:r w:rsidR="001A7E0C">
        <w:t>warning</w:t>
      </w:r>
      <w:r>
        <w:t xml:space="preserve"> flag. If disproportionately caught up in the social assistance system early in life, what are the chances of economic independence in later adulthood?</w:t>
      </w:r>
      <w:r w:rsidR="001A7E0C">
        <w:t xml:space="preserve"> Some attention to the employment integration of youth with disabilities would seem to make good sense as a step in the direction of preventing avoidable reliance on social assistance later in life. Attention to the specific needs, concerns and aspirations of young women with disabilities seems particularly warranted (</w:t>
      </w:r>
      <w:r w:rsidR="008D5C92">
        <w:t>Hogansen et al., 2008).</w:t>
      </w:r>
    </w:p>
    <w:p w:rsidR="00A3607E" w:rsidRDefault="00A3607E" w:rsidP="00A3607E">
      <w:r>
        <w:t xml:space="preserve">In the final analysis a troubling question keeps rising to the surface: why is it that, in an affluent country such as Canada, people with disabilities, who often face serious challenges to employment that are beyond their personal control, are left </w:t>
      </w:r>
      <w:r>
        <w:lastRenderedPageBreak/>
        <w:t xml:space="preserve">disproportionately reliant on social assistance programs that typically accord incomes that are well below the poverty line (NCW, 2009)? </w:t>
      </w:r>
      <w:r w:rsidR="008D6C62">
        <w:t>Th</w:t>
      </w:r>
      <w:r w:rsidR="007D1640">
        <w:t>ese realities</w:t>
      </w:r>
      <w:r w:rsidR="008D6C62">
        <w:t xml:space="preserve"> seem seriously at odds with Canada’s commitments under the UN Convention on the Rights of Persons with Disabilities (2006) to </w:t>
      </w:r>
      <w:r w:rsidR="00F52C53">
        <w:t>uphold the inherent dignity and worth of all citizens, including people with disabilities, by furthering their employment (Art. 27)</w:t>
      </w:r>
      <w:r w:rsidR="0096486B">
        <w:t xml:space="preserve"> while</w:t>
      </w:r>
      <w:r w:rsidR="00F52C53">
        <w:t xml:space="preserve"> </w:t>
      </w:r>
      <w:r w:rsidR="008457F7">
        <w:t>safeguard</w:t>
      </w:r>
      <w:r w:rsidR="0096486B">
        <w:t>ing</w:t>
      </w:r>
      <w:r w:rsidR="008457F7">
        <w:t xml:space="preserve"> and promot</w:t>
      </w:r>
      <w:r w:rsidR="0096486B">
        <w:t>ing</w:t>
      </w:r>
      <w:r w:rsidR="000F0AFD">
        <w:t xml:space="preserve"> </w:t>
      </w:r>
      <w:r w:rsidR="008D6C62">
        <w:t>an adequate standard of living</w:t>
      </w:r>
      <w:r w:rsidR="00FE5BC6" w:rsidRPr="006B3294">
        <w:rPr>
          <w:i/>
        </w:rPr>
        <w:t xml:space="preserve"> </w:t>
      </w:r>
      <w:r w:rsidR="008457F7" w:rsidRPr="006B3294">
        <w:rPr>
          <w:i/>
        </w:rPr>
        <w:t>for all</w:t>
      </w:r>
      <w:r w:rsidR="008457F7">
        <w:t xml:space="preserve"> </w:t>
      </w:r>
      <w:r w:rsidR="00FE5BC6">
        <w:t>(Art. 28)</w:t>
      </w:r>
      <w:r w:rsidR="008D6C62">
        <w:t>.</w:t>
      </w:r>
    </w:p>
    <w:p w:rsidR="00A3607E" w:rsidRDefault="00A3607E" w:rsidP="00A3607E"/>
    <w:p w:rsidR="00A3607E" w:rsidRPr="00660C01" w:rsidRDefault="00A3607E" w:rsidP="00A3607E"/>
    <w:p w:rsidR="00A3607E" w:rsidRDefault="00A3607E" w:rsidP="00A3607E">
      <w:pPr>
        <w:sectPr w:rsidR="00A3607E" w:rsidSect="00071C6E">
          <w:pgSz w:w="12240" w:h="15840"/>
          <w:pgMar w:top="1440" w:right="1440" w:bottom="1440" w:left="1440" w:header="708" w:footer="708" w:gutter="0"/>
          <w:cols w:space="708"/>
          <w:docGrid w:linePitch="360"/>
        </w:sectP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E179C6" w:rsidRDefault="00E179C6" w:rsidP="00E179C6">
      <w:pPr>
        <w:jc w:val="center"/>
      </w:pPr>
    </w:p>
    <w:p w:rsidR="0064338B" w:rsidRDefault="00061EF4" w:rsidP="00E179C6">
      <w:pPr>
        <w:pStyle w:val="Heading1"/>
        <w:jc w:val="center"/>
        <w:sectPr w:rsidR="0064338B">
          <w:footerReference w:type="default" r:id="rId29"/>
          <w:pgSz w:w="12240" w:h="15840"/>
          <w:pgMar w:top="1440" w:right="1440" w:bottom="1440" w:left="1440" w:header="708" w:footer="708" w:gutter="0"/>
          <w:cols w:space="708"/>
          <w:docGrid w:linePitch="360"/>
        </w:sectPr>
      </w:pPr>
      <w:bookmarkStart w:id="74" w:name="_Toc361342917"/>
      <w:r>
        <w:t>A</w:t>
      </w:r>
      <w:r w:rsidR="00D14265">
        <w:t>ppendix</w:t>
      </w:r>
      <w:bookmarkEnd w:id="74"/>
    </w:p>
    <w:p w:rsidR="0064338B" w:rsidRDefault="0064338B" w:rsidP="00025656">
      <w:pPr>
        <w:pStyle w:val="Heading2"/>
      </w:pPr>
      <w:bookmarkStart w:id="75" w:name="_Toc361342918"/>
      <w:r w:rsidRPr="0064338B">
        <w:lastRenderedPageBreak/>
        <w:t>Descriptions of Government Transfer Income Sources</w:t>
      </w:r>
      <w:bookmarkEnd w:id="75"/>
      <w:r w:rsidRPr="0064338B">
        <w:t xml:space="preserve"> </w:t>
      </w:r>
    </w:p>
    <w:p w:rsidR="00875CCD" w:rsidRPr="00875CCD" w:rsidRDefault="00875CCD" w:rsidP="00875CCD"/>
    <w:p w:rsidR="0064338B" w:rsidRPr="00997EDC" w:rsidRDefault="0064338B" w:rsidP="0064338B">
      <w:pPr>
        <w:rPr>
          <w:b/>
        </w:rPr>
      </w:pPr>
      <w:r w:rsidRPr="00997EDC">
        <w:rPr>
          <w:b/>
        </w:rPr>
        <w:t>Federal and provincial child benefits</w:t>
      </w:r>
    </w:p>
    <w:p w:rsidR="0064338B" w:rsidRDefault="0064338B" w:rsidP="0064338B">
      <w:r>
        <w:t>At the federal level, th</w:t>
      </w:r>
      <w:r w:rsidRPr="004F0D14">
        <w:t xml:space="preserve">e Canada child tax benefit (CCTB) is a non-taxable amount </w:t>
      </w:r>
      <w:r>
        <w:t xml:space="preserve">for which eligibility is geared to income. It is </w:t>
      </w:r>
      <w:r w:rsidRPr="004F0D14">
        <w:t>paid monthly</w:t>
      </w:r>
      <w:r>
        <w:t xml:space="preserve"> </w:t>
      </w:r>
      <w:r w:rsidRPr="004F0D14">
        <w:t>to help eligible families with the cost of raising children under 18 years of</w:t>
      </w:r>
      <w:r>
        <w:t xml:space="preserve"> </w:t>
      </w:r>
      <w:r w:rsidRPr="004F0D14">
        <w:t>age. The CCTB may include the national child benefit supplement (</w:t>
      </w:r>
      <w:r>
        <w:t>NCBS</w:t>
      </w:r>
      <w:r w:rsidRPr="004F0D14">
        <w:t>)</w:t>
      </w:r>
      <w:r>
        <w:t xml:space="preserve"> </w:t>
      </w:r>
      <w:r w:rsidRPr="004F0D14">
        <w:t>and the child disability benefit (</w:t>
      </w:r>
      <w:r>
        <w:t>CDB</w:t>
      </w:r>
      <w:r w:rsidRPr="004F0D14">
        <w:t>).</w:t>
      </w:r>
      <w:r>
        <w:t xml:space="preserve"> The NCBS is a non-taxable supplement for low income families that may be offset by a reduction in provincial social assistance payments. The CDB</w:t>
      </w:r>
      <w:r w:rsidRPr="00DD62E7">
        <w:t xml:space="preserve"> provide</w:t>
      </w:r>
      <w:r>
        <w:t>s</w:t>
      </w:r>
      <w:r w:rsidRPr="00DD62E7">
        <w:t xml:space="preserve"> </w:t>
      </w:r>
      <w:r>
        <w:t>an amount geared to income for</w:t>
      </w:r>
      <w:r w:rsidRPr="00DD62E7">
        <w:t xml:space="preserve"> qualified families caring for children </w:t>
      </w:r>
      <w:r>
        <w:t xml:space="preserve">under 18 years of age </w:t>
      </w:r>
      <w:r w:rsidRPr="00DD62E7">
        <w:t>who have a</w:t>
      </w:r>
      <w:r>
        <w:t xml:space="preserve"> </w:t>
      </w:r>
      <w:r w:rsidRPr="00DD62E7">
        <w:t>severe and prolonged impairment i</w:t>
      </w:r>
      <w:r>
        <w:t xml:space="preserve">n physical or mental functions and who are eligible for the Disability Tax Credit (Canada Revenue Agency [CRA], 2013a). The </w:t>
      </w:r>
      <w:r w:rsidRPr="0067541B">
        <w:t xml:space="preserve">universal child care benefit (UCCB) is a taxable benefit </w:t>
      </w:r>
      <w:r>
        <w:t xml:space="preserve">of $100 </w:t>
      </w:r>
      <w:r w:rsidRPr="0067541B">
        <w:t xml:space="preserve">paid monthly </w:t>
      </w:r>
      <w:r>
        <w:t xml:space="preserve">for each eligible child of those who qualify for the CCTB.  </w:t>
      </w:r>
    </w:p>
    <w:p w:rsidR="0064338B" w:rsidRDefault="0064338B" w:rsidP="0064338B">
      <w:r>
        <w:t xml:space="preserve">When SLID 2009 was conducted, provinces that had their own child benefits in conjunction with the CCTB were Newfoundland and Labrador, New Brunswick, Nova Scotia, Ontario and Quebec (NCW, 2010). </w:t>
      </w:r>
      <w:r>
        <w:rPr>
          <w:rStyle w:val="FootnoteReference"/>
        </w:rPr>
        <w:footnoteReference w:id="12"/>
      </w:r>
    </w:p>
    <w:p w:rsidR="0064338B" w:rsidRPr="00997EDC" w:rsidRDefault="0064338B" w:rsidP="0064338B">
      <w:pPr>
        <w:rPr>
          <w:b/>
        </w:rPr>
      </w:pPr>
      <w:r w:rsidRPr="00997EDC">
        <w:rPr>
          <w:b/>
        </w:rPr>
        <w:t>Canada Pension Plan (CPP)</w:t>
      </w:r>
    </w:p>
    <w:p w:rsidR="0064338B" w:rsidRDefault="0064338B" w:rsidP="0064338B">
      <w:r w:rsidRPr="00E60C38">
        <w:t xml:space="preserve">The Canada Pension Plan (CPP) Retirement Pension provides a monthly taxable benefit to retired </w:t>
      </w:r>
      <w:r>
        <w:t xml:space="preserve">individuals who </w:t>
      </w:r>
      <w:r w:rsidRPr="00E60C38">
        <w:t xml:space="preserve">have made at least one valid payment to the Canada Pension Plan, and </w:t>
      </w:r>
      <w:r>
        <w:t>who</w:t>
      </w:r>
      <w:r w:rsidRPr="00E60C38">
        <w:t xml:space="preserve"> are at least 60 years old</w:t>
      </w:r>
      <w:r>
        <w:t xml:space="preserve"> (Service Canada, 2013b)</w:t>
      </w:r>
      <w:r w:rsidRPr="00E60C38">
        <w:t>.</w:t>
      </w:r>
      <w:r>
        <w:t xml:space="preserve"> The CPP D</w:t>
      </w:r>
      <w:r w:rsidRPr="00B957F2">
        <w:t>isability benefit is available to people who have made enough contributions to the CPP, and whose disability prevents them from working at any job on a regular basis. The disability must be long lasting or lik</w:t>
      </w:r>
      <w:r>
        <w:t>ely to result in death (Service Canada, 2011).</w:t>
      </w:r>
    </w:p>
    <w:p w:rsidR="0064338B" w:rsidRPr="00997EDC" w:rsidRDefault="0064338B" w:rsidP="0064338B">
      <w:pPr>
        <w:rPr>
          <w:b/>
        </w:rPr>
      </w:pPr>
      <w:r w:rsidRPr="00997EDC">
        <w:rPr>
          <w:b/>
        </w:rPr>
        <w:t>Quebec Pension Plan (QPP)</w:t>
      </w:r>
    </w:p>
    <w:p w:rsidR="0064338B" w:rsidRDefault="0064338B" w:rsidP="0064338B">
      <w:r>
        <w:t xml:space="preserve">The QPP is similar to the CPP and provides both a retirement and disability benefit. It is administered by Quebec and is available to people who work or who have worked in that province (Régie des rentes Québec, 2013b). </w:t>
      </w:r>
    </w:p>
    <w:p w:rsidR="0064338B" w:rsidRPr="00F17383" w:rsidRDefault="0064338B" w:rsidP="0064338B">
      <w:pPr>
        <w:rPr>
          <w:b/>
        </w:rPr>
      </w:pPr>
      <w:r>
        <w:rPr>
          <w:b/>
        </w:rPr>
        <w:br w:type="page"/>
      </w:r>
      <w:r w:rsidRPr="00F17383">
        <w:rPr>
          <w:b/>
        </w:rPr>
        <w:lastRenderedPageBreak/>
        <w:t xml:space="preserve">Old Age Security pension and Guaranteed Income Supplement  </w:t>
      </w:r>
    </w:p>
    <w:p w:rsidR="0064338B" w:rsidRPr="00A910A6" w:rsidRDefault="0064338B" w:rsidP="0064338B">
      <w:r w:rsidRPr="00997EDC">
        <w:t xml:space="preserve">The Old Age Security </w:t>
      </w:r>
      <w:r>
        <w:t xml:space="preserve">(OAS) </w:t>
      </w:r>
      <w:r w:rsidRPr="00997EDC">
        <w:t>pension is a monthly benefit available to most Canadians 65 years of age or over</w:t>
      </w:r>
      <w:r>
        <w:t xml:space="preserve"> who have lived in Canada for at least 40 years after reaching age 18 or who meet other criteria if they were 25 years of age or over on </w:t>
      </w:r>
      <w:r w:rsidRPr="00A910A6">
        <w:t>July 1, 1977</w:t>
      </w:r>
      <w:r>
        <w:t>.</w:t>
      </w:r>
      <w:r w:rsidRPr="00A910A6">
        <w:t xml:space="preserve"> The Gu</w:t>
      </w:r>
      <w:r>
        <w:t xml:space="preserve">aranteed Income Supplement (GIS) </w:t>
      </w:r>
      <w:r w:rsidRPr="00A910A6">
        <w:t>is a monthly benefit paid to eligible re</w:t>
      </w:r>
      <w:r>
        <w:t xml:space="preserve">sidents of Canada who receive an </w:t>
      </w:r>
      <w:r w:rsidRPr="00A910A6">
        <w:t xml:space="preserve">Old Age Security pension </w:t>
      </w:r>
      <w:r>
        <w:t xml:space="preserve">(full or partial) </w:t>
      </w:r>
      <w:r w:rsidRPr="00A910A6">
        <w:t>and who</w:t>
      </w:r>
      <w:r>
        <w:t xml:space="preserve"> have little or no other income (Service Canada, 2013c).</w:t>
      </w:r>
    </w:p>
    <w:p w:rsidR="0064338B" w:rsidRPr="00BC7D39" w:rsidRDefault="0064338B" w:rsidP="0064338B">
      <w:pPr>
        <w:rPr>
          <w:b/>
        </w:rPr>
      </w:pPr>
      <w:r w:rsidRPr="00BC7D39">
        <w:rPr>
          <w:b/>
        </w:rPr>
        <w:t xml:space="preserve">Employment Insurance </w:t>
      </w:r>
    </w:p>
    <w:p w:rsidR="0064338B" w:rsidRDefault="0064338B" w:rsidP="0064338B">
      <w:r w:rsidRPr="00CA6AB8">
        <w:t xml:space="preserve">Employment Insurance (EI) provides temporary financial assistance to unemployed Canadians who have lost their job </w:t>
      </w:r>
      <w:r>
        <w:t>‘</w:t>
      </w:r>
      <w:r w:rsidRPr="00CA6AB8">
        <w:t>through no fault of their own</w:t>
      </w:r>
      <w:r>
        <w:t>’</w:t>
      </w:r>
      <w:r w:rsidRPr="00CA6AB8">
        <w:t>, while they look for work or upgrade their skills.</w:t>
      </w:r>
      <w:r w:rsidR="00D53673">
        <w:t xml:space="preserve"> EI</w:t>
      </w:r>
      <w:r>
        <w:t xml:space="preserve"> may also be available to Canadians who are </w:t>
      </w:r>
      <w:r w:rsidRPr="00CA6AB8">
        <w:t>sick, pregnant, or caring for a newborn or adopted child, as well as those who must care for a family member who is seriously ill with a significant risk of death</w:t>
      </w:r>
      <w:r>
        <w:t xml:space="preserve"> (Service Canada, 2013d).</w:t>
      </w:r>
    </w:p>
    <w:p w:rsidR="0064338B" w:rsidRPr="009E68F6" w:rsidRDefault="0064338B" w:rsidP="0064338B">
      <w:pPr>
        <w:rPr>
          <w:b/>
        </w:rPr>
      </w:pPr>
      <w:r w:rsidRPr="009E68F6">
        <w:rPr>
          <w:b/>
        </w:rPr>
        <w:t>Workers’ compensation</w:t>
      </w:r>
    </w:p>
    <w:p w:rsidR="0064338B" w:rsidRDefault="0064338B" w:rsidP="0064338B">
      <w:r w:rsidRPr="00DD4305">
        <w:t>Workers’ Compensation is a broad system of disability income</w:t>
      </w:r>
      <w:r>
        <w:t xml:space="preserve"> </w:t>
      </w:r>
      <w:r w:rsidRPr="00DD4305">
        <w:t>protection for employees, covering accidental injuries or occupational diseases</w:t>
      </w:r>
      <w:r>
        <w:t xml:space="preserve"> arising out of employment. It falls</w:t>
      </w:r>
      <w:r w:rsidRPr="00DD4305">
        <w:t xml:space="preserve"> within federal, provincial or territorial jurisdiction,</w:t>
      </w:r>
      <w:r>
        <w:t xml:space="preserve"> </w:t>
      </w:r>
      <w:r w:rsidRPr="00DD4305">
        <w:t>depending on the business or industry.</w:t>
      </w:r>
      <w:r>
        <w:t xml:space="preserve"> </w:t>
      </w:r>
      <w:r w:rsidRPr="00DD4305">
        <w:t>The coverage is largely compulsory and on a</w:t>
      </w:r>
      <w:r>
        <w:t xml:space="preserve"> </w:t>
      </w:r>
      <w:r w:rsidRPr="00DD4305">
        <w:t>no-fault basis, although there are exceptions (such as optional coverage for some</w:t>
      </w:r>
      <w:r>
        <w:t xml:space="preserve"> </w:t>
      </w:r>
      <w:r w:rsidRPr="00DD4305">
        <w:t>businesses, limited or no coverage for employees who are injured because of their</w:t>
      </w:r>
      <w:r>
        <w:t xml:space="preserve"> </w:t>
      </w:r>
      <w:r w:rsidRPr="00DD4305">
        <w:t>own serious misconduct). Benefits vary among jurisdictions but typically</w:t>
      </w:r>
      <w:r>
        <w:t xml:space="preserve"> </w:t>
      </w:r>
      <w:r w:rsidRPr="00DD4305">
        <w:t>include income benefits (temporary and long-term for total or partial disability),</w:t>
      </w:r>
      <w:r>
        <w:t xml:space="preserve"> </w:t>
      </w:r>
      <w:r w:rsidRPr="00DD4305">
        <w:t>rehabilitation, medical care and other health needs, death and survivor benefits</w:t>
      </w:r>
      <w:r>
        <w:t xml:space="preserve"> (Crawford, 2004)</w:t>
      </w:r>
      <w:r w:rsidRPr="00DD4305">
        <w:t>.</w:t>
      </w:r>
      <w:r>
        <w:t xml:space="preserve"> </w:t>
      </w:r>
    </w:p>
    <w:p w:rsidR="0064338B" w:rsidRPr="00726D07" w:rsidRDefault="0064338B" w:rsidP="0064338B">
      <w:pPr>
        <w:rPr>
          <w:b/>
        </w:rPr>
      </w:pPr>
      <w:r w:rsidRPr="00726D07">
        <w:rPr>
          <w:b/>
        </w:rPr>
        <w:t>Social assistance</w:t>
      </w:r>
    </w:p>
    <w:p w:rsidR="0064338B" w:rsidRDefault="0064338B" w:rsidP="0064338B">
      <w:r>
        <w:t>P</w:t>
      </w:r>
      <w:r w:rsidRPr="00542B3A">
        <w:t xml:space="preserve">rovincial and territorial social assistance programs provide </w:t>
      </w:r>
      <w:r>
        <w:t xml:space="preserve">‘last resort’ </w:t>
      </w:r>
      <w:r w:rsidRPr="00542B3A">
        <w:t xml:space="preserve">financial assistance and in-kind goods and services to cover the cost of basic living requirements for an individual or family </w:t>
      </w:r>
      <w:r>
        <w:t xml:space="preserve">whose </w:t>
      </w:r>
      <w:r w:rsidRPr="00542B3A">
        <w:t>other financial resources have been exhausted.</w:t>
      </w:r>
      <w:r>
        <w:t xml:space="preserve"> A</w:t>
      </w:r>
      <w:r w:rsidRPr="00DF521D">
        <w:t>ssistance may be granted on the basis of need</w:t>
      </w:r>
      <w:r>
        <w:t xml:space="preserve"> </w:t>
      </w:r>
      <w:r w:rsidRPr="00DF521D">
        <w:t xml:space="preserve">to </w:t>
      </w:r>
      <w:r>
        <w:t>an</w:t>
      </w:r>
      <w:r w:rsidRPr="00DF521D">
        <w:t xml:space="preserve"> individual or family head </w:t>
      </w:r>
      <w:r>
        <w:t>determined</w:t>
      </w:r>
      <w:r w:rsidRPr="00DF521D">
        <w:t xml:space="preserve"> to be unable to provide adequately for themselves and any dependants. Eligible persons </w:t>
      </w:r>
      <w:r>
        <w:t xml:space="preserve">who are deemed ‘employable’ </w:t>
      </w:r>
      <w:r w:rsidRPr="00DF521D">
        <w:t>are actively encouraged or required to pursue, accept and retain any reasonable offer of employment or re-training as a</w:t>
      </w:r>
      <w:r>
        <w:t xml:space="preserve"> condition of eligibility. Programs have various names, including income assistance, income support and welfare (</w:t>
      </w:r>
      <w:r w:rsidRPr="009E68F6">
        <w:t>Federal-Provincial-Territorial Directors of Income Support</w:t>
      </w:r>
      <w:r>
        <w:t xml:space="preserve">, 2010). Programs that focus specifically on people with disabilities have been </w:t>
      </w:r>
      <w:r>
        <w:lastRenderedPageBreak/>
        <w:t>established in British Columbia, Alberta, Saskatchewan and Ontario. Typical income levels on social assistance fall well below the ‘poverty line’ (NCW, 2010).</w:t>
      </w:r>
    </w:p>
    <w:p w:rsidR="0064338B" w:rsidRPr="005E7A38" w:rsidRDefault="0064338B" w:rsidP="0064338B">
      <w:pPr>
        <w:rPr>
          <w:b/>
        </w:rPr>
      </w:pPr>
      <w:r w:rsidRPr="005E7A38">
        <w:rPr>
          <w:b/>
        </w:rPr>
        <w:t>Working Income Tax Benefit</w:t>
      </w:r>
    </w:p>
    <w:p w:rsidR="0064338B" w:rsidRDefault="0064338B" w:rsidP="0064338B">
      <w:r w:rsidRPr="006510F6">
        <w:t xml:space="preserve">The working income tax benefit (WITB) is a refundable tax credit </w:t>
      </w:r>
      <w:r>
        <w:t xml:space="preserve">paid quarterly for residents of Canada who are aged 19 years of age or older. It is </w:t>
      </w:r>
      <w:r w:rsidRPr="006510F6">
        <w:t>intended to provide tax relief for eligible low-income individuals and families who are in</w:t>
      </w:r>
      <w:r>
        <w:t xml:space="preserve"> the workforce and to encourage others to enter the workforce. People who qualify for the Disability Tax Credit may also qualify for a WITB disability supplement. Eligible individuals must have earned income of at least $3,000 unless they meet the disability criteria, in which case minimum earned income must be $1,500 (CRA, 2013b).  The benefit is geared to income and begins tapering to zero when net income falls between $11,231 and $17,824. The benefit varies somewhat by jurisdiction, but is in the range of up to about $1,000 for individuals, up to about $1,800 for families and up to about $500 for the disability supplement (CRA, 2013c).</w:t>
      </w:r>
    </w:p>
    <w:p w:rsidR="0064338B" w:rsidRPr="004A5559" w:rsidRDefault="0064338B" w:rsidP="0064338B">
      <w:pPr>
        <w:rPr>
          <w:b/>
        </w:rPr>
      </w:pPr>
      <w:r w:rsidRPr="004A5559">
        <w:rPr>
          <w:b/>
        </w:rPr>
        <w:t>Goods and Services Tax and Harmonized Sales Tax credit</w:t>
      </w:r>
    </w:p>
    <w:p w:rsidR="0064338B" w:rsidRPr="00A910A6" w:rsidRDefault="0064338B" w:rsidP="0064338B">
      <w:r w:rsidRPr="004A5559">
        <w:t xml:space="preserve">The </w:t>
      </w:r>
      <w:r>
        <w:t>Goods and Services Tax / Harmonized Sales Tax (</w:t>
      </w:r>
      <w:r w:rsidRPr="004A5559">
        <w:t>GST/HST</w:t>
      </w:r>
      <w:r>
        <w:t>)</w:t>
      </w:r>
      <w:r w:rsidRPr="004A5559">
        <w:t xml:space="preserve"> credit is a tax-free quarterly payment that helps individuals and families with low or modest incomes offset all or part of the GST or HST that they pay</w:t>
      </w:r>
      <w:r>
        <w:t xml:space="preserve"> (CRA, 2013d)</w:t>
      </w:r>
      <w:r w:rsidRPr="004A5559">
        <w:t>.</w:t>
      </w:r>
    </w:p>
    <w:p w:rsidR="00025656" w:rsidRDefault="00025656" w:rsidP="00E179C6">
      <w:pPr>
        <w:pStyle w:val="Heading1"/>
        <w:jc w:val="center"/>
        <w:sectPr w:rsidR="00025656">
          <w:headerReference w:type="default" r:id="rId30"/>
          <w:footerReference w:type="default" r:id="rId31"/>
          <w:pgSz w:w="12240" w:h="15840"/>
          <w:pgMar w:top="1440" w:right="1440" w:bottom="1440" w:left="1440" w:header="708" w:footer="708" w:gutter="0"/>
          <w:cols w:space="708"/>
          <w:docGrid w:linePitch="360"/>
        </w:sectP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25656" w:rsidRDefault="00025656" w:rsidP="00E179C6">
      <w:pPr>
        <w:pStyle w:val="Heading1"/>
        <w:jc w:val="center"/>
      </w:pPr>
    </w:p>
    <w:p w:rsidR="00061EF4" w:rsidRDefault="00BA123B" w:rsidP="00025656">
      <w:pPr>
        <w:pStyle w:val="Heading2"/>
        <w:jc w:val="center"/>
        <w:sectPr w:rsidR="00061EF4">
          <w:headerReference w:type="default" r:id="rId32"/>
          <w:footerReference w:type="default" r:id="rId33"/>
          <w:pgSz w:w="12240" w:h="15840"/>
          <w:pgMar w:top="1440" w:right="1440" w:bottom="1440" w:left="1440" w:header="708" w:footer="708" w:gutter="0"/>
          <w:cols w:space="708"/>
          <w:docGrid w:linePitch="360"/>
        </w:sectPr>
      </w:pPr>
      <w:bookmarkStart w:id="76" w:name="_Toc361342919"/>
      <w:r>
        <w:t>Charts</w:t>
      </w:r>
      <w:bookmarkEnd w:id="76"/>
    </w:p>
    <w:p w:rsidR="00A601D5" w:rsidRDefault="00263D02" w:rsidP="00A601D5">
      <w:r w:rsidRPr="00A329D0">
        <w:rPr>
          <w:noProof/>
        </w:rPr>
        <w:object w:dxaOrig="8183" w:dyaOrig="6152">
          <v:shape id="_x0000_i1028" type="#_x0000_t75" style="width:409.5pt;height:307.5pt" o:ole="">
            <v:imagedata r:id="rId34" o:title=""/>
            <o:lock v:ext="edit" aspectratio="f"/>
          </v:shape>
          <o:OLEObject Type="Embed" ProgID="Excel.Sheet.8" ShapeID="_x0000_i1028" DrawAspect="Content" ObjectID="_1444740566" r:id="rId35">
            <o:FieldCodes>\s</o:FieldCodes>
          </o:OLEObject>
        </w:object>
      </w:r>
    </w:p>
    <w:p w:rsidR="00A866C8" w:rsidRDefault="00263D02" w:rsidP="00A601D5">
      <w:r w:rsidRPr="00A329D0">
        <w:rPr>
          <w:noProof/>
        </w:rPr>
        <w:object w:dxaOrig="8190" w:dyaOrig="6120">
          <v:shape id="_x0000_i1029" type="#_x0000_t75" style="width:409.5pt;height:306pt" o:ole="">
            <v:imagedata r:id="rId36" o:title=""/>
            <o:lock v:ext="edit" aspectratio="f"/>
          </v:shape>
          <o:OLEObject Type="Embed" ProgID="Excel.Sheet.8" ShapeID="_x0000_i1029" DrawAspect="Content" ObjectID="_1444740567" r:id="rId37">
            <o:FieldCodes>\s</o:FieldCodes>
          </o:OLEObject>
        </w:object>
      </w:r>
    </w:p>
    <w:p w:rsidR="00A866C8" w:rsidRDefault="00A866C8" w:rsidP="002C4168">
      <w:pPr>
        <w:spacing w:after="0"/>
      </w:pPr>
      <w:r w:rsidRPr="00A329D0">
        <w:rPr>
          <w:noProof/>
        </w:rPr>
        <w:object w:dxaOrig="8295" w:dyaOrig="6010">
          <v:shape id="_x0000_i1030" type="#_x0000_t75" style="width:415.5pt;height:300.75pt;visibility:visible" o:ole="">
            <v:imagedata r:id="rId38" o:title=""/>
            <o:lock v:ext="edit" aspectratio="f"/>
          </v:shape>
          <o:OLEObject Type="Embed" ProgID="Excel.Sheet.8" ShapeID="_x0000_i1030" DrawAspect="Content" ObjectID="_1444740568" r:id="rId39">
            <o:FieldCodes>\s</o:FieldCodes>
          </o:OLEObject>
        </w:object>
      </w:r>
    </w:p>
    <w:p w:rsidR="002C4168" w:rsidRDefault="002C4168" w:rsidP="002C4168">
      <w:pPr>
        <w:spacing w:after="0"/>
      </w:pPr>
    </w:p>
    <w:p w:rsidR="005237FF" w:rsidRDefault="005237FF" w:rsidP="002C4168">
      <w:pPr>
        <w:spacing w:after="0"/>
      </w:pPr>
      <w:r w:rsidRPr="00A329D0">
        <w:rPr>
          <w:noProof/>
        </w:rPr>
        <w:object w:dxaOrig="8295" w:dyaOrig="6001">
          <v:shape id="_x0000_i1031" type="#_x0000_t75" style="width:415.5pt;height:300pt;visibility:visible" o:ole="">
            <v:imagedata r:id="rId40" o:title=""/>
            <o:lock v:ext="edit" aspectratio="f"/>
          </v:shape>
          <o:OLEObject Type="Embed" ProgID="Excel.Sheet.8" ShapeID="_x0000_i1031" DrawAspect="Content" ObjectID="_1444740569" r:id="rId41">
            <o:FieldCodes>\s</o:FieldCodes>
          </o:OLEObject>
        </w:object>
      </w:r>
    </w:p>
    <w:p w:rsidR="005237FF" w:rsidRDefault="000A1FF1" w:rsidP="00A601D5">
      <w:pPr>
        <w:rPr>
          <w:noProof/>
        </w:rPr>
      </w:pPr>
      <w:r w:rsidRPr="00A329D0">
        <w:rPr>
          <w:noProof/>
        </w:rPr>
        <w:object w:dxaOrig="8295" w:dyaOrig="6001">
          <v:shape id="_x0000_i1032" type="#_x0000_t75" style="width:415.5pt;height:300pt;visibility:visible" o:ole="">
            <v:imagedata r:id="rId42" o:title=""/>
            <o:lock v:ext="edit" aspectratio="f"/>
          </v:shape>
          <o:OLEObject Type="Embed" ProgID="Excel.Sheet.8" ShapeID="_x0000_i1032" DrawAspect="Content" ObjectID="_1444740570" r:id="rId43">
            <o:FieldCodes>\s</o:FieldCodes>
          </o:OLEObject>
        </w:object>
      </w:r>
    </w:p>
    <w:p w:rsidR="000A1FF1" w:rsidRDefault="000A1FF1" w:rsidP="004B162F">
      <w:pPr>
        <w:widowControl w:val="0"/>
      </w:pPr>
      <w:r w:rsidRPr="00A329D0">
        <w:rPr>
          <w:noProof/>
        </w:rPr>
        <w:object w:dxaOrig="8295" w:dyaOrig="6001">
          <v:shape id="_x0000_i1033" type="#_x0000_t75" style="width:415.5pt;height:300pt;visibility:visible" o:ole="">
            <v:imagedata r:id="rId44" o:title=""/>
            <o:lock v:ext="edit" aspectratio="f"/>
          </v:shape>
          <o:OLEObject Type="Embed" ProgID="Excel.Sheet.8" ShapeID="_x0000_i1033" DrawAspect="Content" ObjectID="_1444740571" r:id="rId45">
            <o:FieldCodes>\s</o:FieldCodes>
          </o:OLEObject>
        </w:object>
      </w:r>
    </w:p>
    <w:p w:rsidR="002C4168" w:rsidRDefault="002C4168" w:rsidP="00A601D5">
      <w:r w:rsidRPr="00A329D0">
        <w:rPr>
          <w:noProof/>
        </w:rPr>
        <w:object w:dxaOrig="8295" w:dyaOrig="6001">
          <v:shape id="_x0000_i1034" type="#_x0000_t75" style="width:415.5pt;height:300pt;visibility:visible" o:ole="">
            <v:imagedata r:id="rId46" o:title=""/>
            <o:lock v:ext="edit" aspectratio="f"/>
          </v:shape>
          <o:OLEObject Type="Embed" ProgID="Excel.Sheet.8" ShapeID="_x0000_i1034" DrawAspect="Content" ObjectID="_1444740572" r:id="rId47">
            <o:FieldCodes>\s</o:FieldCodes>
          </o:OLEObject>
        </w:object>
      </w:r>
    </w:p>
    <w:p w:rsidR="002C4168" w:rsidRDefault="002C4168" w:rsidP="00A601D5">
      <w:r w:rsidRPr="00A329D0">
        <w:rPr>
          <w:noProof/>
        </w:rPr>
        <w:object w:dxaOrig="8295" w:dyaOrig="6001">
          <v:shape id="_x0000_i1035" type="#_x0000_t75" style="width:415.5pt;height:300pt;visibility:visible" o:ole="">
            <v:imagedata r:id="rId48" o:title=""/>
            <o:lock v:ext="edit" aspectratio="f"/>
          </v:shape>
          <o:OLEObject Type="Embed" ProgID="Excel.Sheet.8" ShapeID="_x0000_i1035" DrawAspect="Content" ObjectID="_1444740573" r:id="rId49">
            <o:FieldCodes>\s</o:FieldCodes>
          </o:OLEObject>
        </w:object>
      </w:r>
    </w:p>
    <w:p w:rsidR="003D7823" w:rsidRDefault="003D7823" w:rsidP="00A601D5">
      <w:r w:rsidRPr="00A329D0">
        <w:rPr>
          <w:noProof/>
        </w:rPr>
        <w:object w:dxaOrig="8295" w:dyaOrig="6010">
          <v:shape id="_x0000_i1036" type="#_x0000_t75" style="width:415.5pt;height:300.75pt;visibility:visible" o:ole="">
            <v:imagedata r:id="rId50" o:title=""/>
            <o:lock v:ext="edit" aspectratio="f"/>
          </v:shape>
          <o:OLEObject Type="Embed" ProgID="Excel.Sheet.8" ShapeID="_x0000_i1036" DrawAspect="Content" ObjectID="_1444740574" r:id="rId51">
            <o:FieldCodes>\s</o:FieldCodes>
          </o:OLEObject>
        </w:object>
      </w:r>
    </w:p>
    <w:p w:rsidR="00DA590F" w:rsidRDefault="00DA590F" w:rsidP="00A601D5">
      <w:r w:rsidRPr="00A329D0">
        <w:rPr>
          <w:noProof/>
        </w:rPr>
        <w:object w:dxaOrig="8295" w:dyaOrig="6001">
          <v:shape id="_x0000_i1037" type="#_x0000_t75" style="width:415.5pt;height:300pt;visibility:visible" o:ole="">
            <v:imagedata r:id="rId52" o:title=""/>
            <o:lock v:ext="edit" aspectratio="f"/>
          </v:shape>
          <o:OLEObject Type="Embed" ProgID="Excel.Sheet.8" ShapeID="_x0000_i1037" DrawAspect="Content" ObjectID="_1444740575" r:id="rId53">
            <o:FieldCodes>\s</o:FieldCodes>
          </o:OLEObject>
        </w:object>
      </w:r>
    </w:p>
    <w:p w:rsidR="00DA590F" w:rsidRDefault="00DA590F" w:rsidP="00A601D5">
      <w:r w:rsidRPr="00A329D0">
        <w:rPr>
          <w:noProof/>
        </w:rPr>
        <w:object w:dxaOrig="8295" w:dyaOrig="6001">
          <v:shape id="_x0000_i1038" type="#_x0000_t75" style="width:415.5pt;height:300pt;visibility:visible" o:ole="">
            <v:imagedata r:id="rId54" o:title=""/>
            <o:lock v:ext="edit" aspectratio="f"/>
          </v:shape>
          <o:OLEObject Type="Embed" ProgID="Excel.Sheet.8" ShapeID="_x0000_i1038" DrawAspect="Content" ObjectID="_1444740576" r:id="rId55">
            <o:FieldCodes>\s</o:FieldCodes>
          </o:OLEObject>
        </w:object>
      </w:r>
    </w:p>
    <w:p w:rsidR="00025656" w:rsidRDefault="00DA590F" w:rsidP="00A601D5">
      <w:pPr>
        <w:rPr>
          <w:noProof/>
        </w:rPr>
        <w:sectPr w:rsidR="00025656">
          <w:headerReference w:type="default" r:id="rId56"/>
          <w:footerReference w:type="default" r:id="rId57"/>
          <w:pgSz w:w="12240" w:h="15840"/>
          <w:pgMar w:top="1440" w:right="1440" w:bottom="1440" w:left="1440" w:header="708" w:footer="708" w:gutter="0"/>
          <w:cols w:space="708"/>
          <w:docGrid w:linePitch="360"/>
        </w:sectPr>
      </w:pPr>
      <w:r w:rsidRPr="00A329D0">
        <w:rPr>
          <w:noProof/>
        </w:rPr>
        <w:object w:dxaOrig="8295" w:dyaOrig="6010">
          <v:shape id="_x0000_i1039" type="#_x0000_t75" style="width:415.5pt;height:300.75pt;visibility:visible" o:ole="">
            <v:imagedata r:id="rId58" o:title=""/>
            <o:lock v:ext="edit" aspectratio="f"/>
          </v:shape>
          <o:OLEObject Type="Embed" ProgID="Excel.Sheet.8" ShapeID="_x0000_i1039" DrawAspect="Content" ObjectID="_1444740577" r:id="rId59">
            <o:FieldCodes>\s</o:FieldCodes>
          </o:OLEObject>
        </w:object>
      </w: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025656" w:rsidRDefault="00025656" w:rsidP="00025656">
      <w:pPr>
        <w:pStyle w:val="Heading2"/>
      </w:pPr>
    </w:p>
    <w:p w:rsidR="008853CB" w:rsidRDefault="00025656" w:rsidP="00025656">
      <w:pPr>
        <w:pStyle w:val="Heading2"/>
        <w:jc w:val="center"/>
        <w:sectPr w:rsidR="008853CB">
          <w:pgSz w:w="12240" w:h="15840"/>
          <w:pgMar w:top="1440" w:right="1440" w:bottom="1440" w:left="1440" w:header="708" w:footer="708" w:gutter="0"/>
          <w:cols w:space="708"/>
          <w:docGrid w:linePitch="360"/>
        </w:sectPr>
      </w:pPr>
      <w:bookmarkStart w:id="77" w:name="_Toc361342920"/>
      <w:r>
        <w:t>Appendix Tables</w:t>
      </w:r>
      <w:bookmarkEnd w:id="77"/>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490031" w:rsidRPr="00880020" w:rsidTr="00186CBB">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bookmarkStart w:id="78" w:name="RANGE!C1:U72"/>
            <w:r w:rsidRPr="00880020">
              <w:rPr>
                <w:rFonts w:ascii="Arial" w:eastAsia="Times New Roman" w:hAnsi="Arial" w:cs="Arial"/>
                <w:b/>
                <w:bCs/>
                <w:color w:val="000000"/>
                <w:sz w:val="14"/>
                <w:szCs w:val="14"/>
              </w:rPr>
              <w:lastRenderedPageBreak/>
              <w:t xml:space="preserve">Table </w:t>
            </w:r>
            <w:r>
              <w:rPr>
                <w:rFonts w:ascii="Arial" w:eastAsia="Times New Roman" w:hAnsi="Arial" w:cs="Arial"/>
                <w:b/>
                <w:bCs/>
                <w:color w:val="000000"/>
                <w:sz w:val="14"/>
                <w:szCs w:val="14"/>
              </w:rPr>
              <w:t>A</w:t>
            </w:r>
            <w:r w:rsidRPr="00880020">
              <w:rPr>
                <w:rFonts w:ascii="Arial" w:eastAsia="Times New Roman" w:hAnsi="Arial" w:cs="Arial"/>
                <w:b/>
                <w:bCs/>
                <w:color w:val="000000"/>
                <w:sz w:val="14"/>
                <w:szCs w:val="14"/>
              </w:rPr>
              <w:t>1</w:t>
            </w:r>
            <w:r>
              <w:rPr>
                <w:rFonts w:ascii="Arial" w:eastAsia="Times New Roman" w:hAnsi="Arial" w:cs="Arial"/>
                <w:b/>
                <w:bCs/>
                <w:color w:val="000000"/>
                <w:sz w:val="14"/>
                <w:szCs w:val="14"/>
              </w:rPr>
              <w:t>a</w:t>
            </w:r>
            <w:r w:rsidRPr="00880020">
              <w:rPr>
                <w:rFonts w:ascii="Arial" w:eastAsia="Times New Roman" w:hAnsi="Arial" w:cs="Arial"/>
                <w:b/>
                <w:bCs/>
                <w:color w:val="000000"/>
                <w:sz w:val="14"/>
                <w:szCs w:val="14"/>
              </w:rPr>
              <w:t>. Market income and government transfer income of low-income, working</w:t>
            </w:r>
            <w:r>
              <w:rPr>
                <w:rFonts w:ascii="Arial" w:eastAsia="Times New Roman" w:hAnsi="Arial" w:cs="Arial"/>
                <w:b/>
                <w:bCs/>
                <w:color w:val="000000"/>
                <w:sz w:val="14"/>
                <w:szCs w:val="14"/>
              </w:rPr>
              <w:t xml:space="preserve">-age people (16-64 years) with disabilities, by province </w:t>
            </w:r>
            <w:r w:rsidRPr="00880020">
              <w:rPr>
                <w:rFonts w:ascii="Arial" w:eastAsia="Times New Roman" w:hAnsi="Arial" w:cs="Arial"/>
                <w:b/>
                <w:bCs/>
                <w:color w:val="000000"/>
                <w:sz w:val="14"/>
                <w:szCs w:val="14"/>
              </w:rPr>
              <w:t>(Source: SLID 2009 PUMF)</w:t>
            </w:r>
            <w:bookmarkEnd w:id="78"/>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Working Income Tax Benefit (WITB)</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490031" w:rsidRPr="00CB3451" w:rsidRDefault="00490031" w:rsidP="00186CBB">
            <w:pPr>
              <w:spacing w:after="0" w:line="240" w:lineRule="auto"/>
              <w:jc w:val="both"/>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Low income working-age people with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$100</w:t>
            </w:r>
          </w:p>
        </w:tc>
        <w:tc>
          <w:tcPr>
            <w:tcW w:w="792"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$800</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$150</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$32</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$63</w:t>
            </w:r>
          </w:p>
        </w:tc>
        <w:tc>
          <w:tcPr>
            <w:tcW w:w="720" w:type="dxa"/>
            <w:tcBorders>
              <w:top w:val="single" w:sz="12" w:space="0" w:color="auto"/>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w:t>
            </w:r>
          </w:p>
        </w:tc>
        <w:tc>
          <w:tcPr>
            <w:tcW w:w="720" w:type="dxa"/>
            <w:tcBorders>
              <w:top w:val="single" w:sz="12" w:space="0" w:color="auto"/>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$559</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$1,051</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$292</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$86</w:t>
            </w:r>
          </w:p>
        </w:tc>
        <w:tc>
          <w:tcPr>
            <w:tcW w:w="648"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$4,910</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single" w:sz="12" w:space="0" w:color="auto"/>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$313</w:t>
            </w:r>
          </w:p>
        </w:tc>
        <w:tc>
          <w:tcPr>
            <w:tcW w:w="810" w:type="dxa"/>
            <w:tcBorders>
              <w:top w:val="single" w:sz="12" w:space="0" w:color="auto"/>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$70</w:t>
            </w:r>
          </w:p>
        </w:tc>
        <w:tc>
          <w:tcPr>
            <w:tcW w:w="810" w:type="dxa"/>
            <w:tcBorders>
              <w:top w:val="single" w:sz="12" w:space="0" w:color="auto"/>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$1,153</w:t>
            </w:r>
          </w:p>
        </w:tc>
        <w:tc>
          <w:tcPr>
            <w:tcW w:w="810" w:type="dxa"/>
            <w:tcBorders>
              <w:top w:val="single" w:sz="12" w:space="0" w:color="auto"/>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$7,280</w:t>
            </w:r>
          </w:p>
        </w:tc>
        <w:tc>
          <w:tcPr>
            <w:tcW w:w="810" w:type="dxa"/>
            <w:tcBorders>
              <w:top w:val="single" w:sz="12" w:space="0" w:color="auto"/>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$8,432</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Pr>
                <w:rFonts w:ascii="Arial"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$1,870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$56</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$54</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$80</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$6</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$442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$1,666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$524</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$3,391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$83</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$2,140</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$6,425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$8,565</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$933</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$85</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$162</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$95</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$1,069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$1,053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$261</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$96</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$3,452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$21</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$101</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$1,284</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$6,487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$7,771</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$233</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$1,611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$426</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$329</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$45</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$143</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$1,080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$962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$132</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$243</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$4,012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$81</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$270</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$2,786</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$7,462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$10,248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$346</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$2,575</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$73</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$92</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$167</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$536</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$1,058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$981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$423</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$3,571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$121</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$282</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$3,788</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$6,905</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$10,693</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$397</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$3,025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$141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$178</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$346</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$984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$2,077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$2,617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$116</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$286</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$4,089</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$6,443</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$10,532</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$2,069</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$405</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$252</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$1,021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$4,944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$139</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$2,754</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$7,071</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$9,825</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$457</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$5,705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$143</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$15</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$202</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$316</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$3,243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$93</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$6,526</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$4,956</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$11,482</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($52)</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$2,349</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$26</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$611</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$37</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$777</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$480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$444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$112</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$678</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$3,509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$114</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$315</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$155</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$3,747</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$5,843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$9,590</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$257</w:t>
            </w:r>
          </w:p>
        </w:tc>
        <w:tc>
          <w:tcPr>
            <w:tcW w:w="792"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$2,450</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$139</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$227</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$105</w:t>
            </w:r>
          </w:p>
        </w:tc>
        <w:tc>
          <w:tcPr>
            <w:tcW w:w="720" w:type="dxa"/>
            <w:tcBorders>
              <w:top w:val="nil"/>
              <w:left w:val="nil"/>
              <w:bottom w:val="single" w:sz="12" w:space="0" w:color="auto"/>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$416</w:t>
            </w:r>
          </w:p>
        </w:tc>
        <w:tc>
          <w:tcPr>
            <w:tcW w:w="720" w:type="dxa"/>
            <w:tcBorders>
              <w:top w:val="nil"/>
              <w:left w:val="single" w:sz="12" w:space="0" w:color="000000"/>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$927</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$915</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$74</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$378</w:t>
            </w:r>
          </w:p>
        </w:tc>
        <w:tc>
          <w:tcPr>
            <w:tcW w:w="648"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$154</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$3,647</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$103</w:t>
            </w:r>
          </w:p>
        </w:tc>
        <w:tc>
          <w:tcPr>
            <w:tcW w:w="720" w:type="dxa"/>
            <w:tcBorders>
              <w:top w:val="nil"/>
              <w:left w:val="nil"/>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$311</w:t>
            </w:r>
          </w:p>
        </w:tc>
        <w:tc>
          <w:tcPr>
            <w:tcW w:w="810" w:type="dxa"/>
            <w:tcBorders>
              <w:top w:val="nil"/>
              <w:left w:val="single" w:sz="4" w:space="0" w:color="000000"/>
              <w:bottom w:val="single" w:sz="12" w:space="0" w:color="auto"/>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$231</w:t>
            </w:r>
          </w:p>
        </w:tc>
        <w:tc>
          <w:tcPr>
            <w:tcW w:w="810" w:type="dxa"/>
            <w:tcBorders>
              <w:top w:val="nil"/>
              <w:left w:val="nil"/>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$3,594</w:t>
            </w:r>
          </w:p>
        </w:tc>
        <w:tc>
          <w:tcPr>
            <w:tcW w:w="810" w:type="dxa"/>
            <w:tcBorders>
              <w:top w:val="nil"/>
              <w:left w:val="single" w:sz="4" w:space="0" w:color="000000"/>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$6,741</w:t>
            </w:r>
          </w:p>
        </w:tc>
        <w:tc>
          <w:tcPr>
            <w:tcW w:w="810" w:type="dxa"/>
            <w:tcBorders>
              <w:top w:val="nil"/>
              <w:left w:val="single" w:sz="4" w:space="0" w:color="000000"/>
              <w:bottom w:val="single" w:sz="12" w:space="0" w:color="auto"/>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$10,335</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Low income working-age people with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92"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9.5%</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1.8%</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0.7%</w:t>
            </w:r>
          </w:p>
        </w:tc>
        <w:tc>
          <w:tcPr>
            <w:tcW w:w="720" w:type="dxa"/>
            <w:tcBorders>
              <w:top w:val="single" w:sz="12" w:space="0" w:color="auto"/>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720" w:type="dxa"/>
            <w:tcBorders>
              <w:top w:val="single" w:sz="12" w:space="0" w:color="auto"/>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6.6%</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12.5%</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648"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58.2%</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single" w:sz="12" w:space="0" w:color="auto"/>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w:t>
            </w:r>
          </w:p>
        </w:tc>
        <w:tc>
          <w:tcPr>
            <w:tcW w:w="810" w:type="dxa"/>
            <w:tcBorders>
              <w:top w:val="single" w:sz="12" w:space="0" w:color="auto"/>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810" w:type="dxa"/>
            <w:tcBorders>
              <w:top w:val="single" w:sz="12" w:space="0" w:color="auto"/>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13.7%</w:t>
            </w:r>
          </w:p>
        </w:tc>
        <w:tc>
          <w:tcPr>
            <w:tcW w:w="810" w:type="dxa"/>
            <w:tcBorders>
              <w:top w:val="single" w:sz="12" w:space="0" w:color="auto"/>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86.3%</w:t>
            </w:r>
          </w:p>
        </w:tc>
        <w:tc>
          <w:tcPr>
            <w:tcW w:w="810" w:type="dxa"/>
            <w:tcBorders>
              <w:top w:val="single" w:sz="12" w:space="0" w:color="auto"/>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C1602D"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C1602D" w:rsidRPr="00880020" w:rsidRDefault="00C1602D"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nil"/>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nil"/>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000000" w:fill="B7DEE8"/>
            <w:noWrap/>
            <w:vAlign w:val="center"/>
            <w:hideMark/>
          </w:tcPr>
          <w:p w:rsidR="00C1602D" w:rsidRPr="00880020" w:rsidRDefault="00C1602D"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21.8%</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0.6%</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0.9%</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6.1%</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25.0%</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75.0%</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2.1%</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1.2%</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44.4%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16.5%</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83.5%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4.2%</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1.4%</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27.2%</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72.8%</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0.7%</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0.9%</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1.6%</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5.0%</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35.4%</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64.6%</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1.7%</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3.3%</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38.8%</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61.2%</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21.1%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4.1%</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2.6%</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28.0%</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72.0%</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1.2%</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1.8%</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0.2%</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56.8%</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43.2%</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(0.5%)</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0.3%</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6.4%</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8.1%</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7.1%</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39.1%</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60.9%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FFFFFF"/>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w:t>
            </w:r>
          </w:p>
        </w:tc>
        <w:tc>
          <w:tcPr>
            <w:tcW w:w="792"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23.7%</w:t>
            </w:r>
          </w:p>
        </w:tc>
        <w:tc>
          <w:tcPr>
            <w:tcW w:w="810" w:type="dxa"/>
            <w:tcBorders>
              <w:top w:val="nil"/>
              <w:left w:val="nil"/>
              <w:bottom w:val="single" w:sz="12" w:space="0" w:color="auto"/>
              <w:right w:val="single" w:sz="4" w:space="0" w:color="000000"/>
            </w:tcBorders>
            <w:shd w:val="clear" w:color="000000" w:fill="FFFFFF"/>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w:t>
            </w:r>
          </w:p>
        </w:tc>
        <w:tc>
          <w:tcPr>
            <w:tcW w:w="810" w:type="dxa"/>
            <w:tcBorders>
              <w:top w:val="nil"/>
              <w:left w:val="nil"/>
              <w:bottom w:val="single" w:sz="12" w:space="0" w:color="auto"/>
              <w:right w:val="single" w:sz="4" w:space="0" w:color="000000"/>
            </w:tcBorders>
            <w:shd w:val="clear" w:color="000000" w:fill="FFFFFF"/>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2.2%</w:t>
            </w:r>
          </w:p>
        </w:tc>
        <w:tc>
          <w:tcPr>
            <w:tcW w:w="810" w:type="dxa"/>
            <w:tcBorders>
              <w:top w:val="nil"/>
              <w:left w:val="nil"/>
              <w:bottom w:val="single" w:sz="12" w:space="0" w:color="auto"/>
              <w:right w:val="single" w:sz="4" w:space="0" w:color="000000"/>
            </w:tcBorders>
            <w:shd w:val="clear" w:color="000000" w:fill="FFFFFF"/>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1.0%</w:t>
            </w:r>
          </w:p>
        </w:tc>
        <w:tc>
          <w:tcPr>
            <w:tcW w:w="720" w:type="dxa"/>
            <w:tcBorders>
              <w:top w:val="nil"/>
              <w:left w:val="nil"/>
              <w:bottom w:val="single" w:sz="12" w:space="0" w:color="auto"/>
              <w:right w:val="nil"/>
            </w:tcBorders>
            <w:shd w:val="clear" w:color="000000" w:fill="FFFFFF"/>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4.0%</w:t>
            </w:r>
          </w:p>
        </w:tc>
        <w:tc>
          <w:tcPr>
            <w:tcW w:w="720" w:type="dxa"/>
            <w:tcBorders>
              <w:top w:val="nil"/>
              <w:left w:val="single" w:sz="12" w:space="0" w:color="000000"/>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9.0%</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8.9%</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0.7%</w:t>
            </w:r>
          </w:p>
        </w:tc>
        <w:tc>
          <w:tcPr>
            <w:tcW w:w="81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w:t>
            </w:r>
          </w:p>
        </w:tc>
        <w:tc>
          <w:tcPr>
            <w:tcW w:w="648"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35.3%</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single" w:sz="12" w:space="0" w:color="auto"/>
              <w:right w:val="nil"/>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w:t>
            </w:r>
          </w:p>
        </w:tc>
        <w:tc>
          <w:tcPr>
            <w:tcW w:w="810" w:type="dxa"/>
            <w:tcBorders>
              <w:top w:val="nil"/>
              <w:left w:val="single" w:sz="4" w:space="0" w:color="000000"/>
              <w:bottom w:val="single" w:sz="12" w:space="0" w:color="auto"/>
              <w:right w:val="single" w:sz="12"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w:t>
            </w:r>
          </w:p>
        </w:tc>
        <w:tc>
          <w:tcPr>
            <w:tcW w:w="810" w:type="dxa"/>
            <w:tcBorders>
              <w:top w:val="nil"/>
              <w:left w:val="nil"/>
              <w:bottom w:val="single" w:sz="12" w:space="0" w:color="auto"/>
              <w:right w:val="nil"/>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34.8%</w:t>
            </w:r>
          </w:p>
        </w:tc>
        <w:tc>
          <w:tcPr>
            <w:tcW w:w="810" w:type="dxa"/>
            <w:tcBorders>
              <w:top w:val="nil"/>
              <w:left w:val="single" w:sz="4" w:space="0" w:color="000000"/>
              <w:bottom w:val="single" w:sz="12" w:space="0" w:color="auto"/>
              <w:right w:val="nil"/>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65.2%</w:t>
            </w:r>
          </w:p>
        </w:tc>
        <w:tc>
          <w:tcPr>
            <w:tcW w:w="810" w:type="dxa"/>
            <w:tcBorders>
              <w:top w:val="nil"/>
              <w:left w:val="single" w:sz="4" w:space="0" w:color="000000"/>
              <w:bottom w:val="single" w:sz="12" w:space="0" w:color="auto"/>
              <w:right w:val="single" w:sz="12"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bl>
    <w:p w:rsidR="00490031" w:rsidRDefault="00490031" w:rsidP="00490031">
      <w:pPr>
        <w:rPr>
          <w:rFonts w:ascii="Arial" w:hAnsi="Arial" w:cs="Arial"/>
          <w:sz w:val="14"/>
          <w:szCs w:val="14"/>
        </w:rPr>
      </w:pPr>
      <w:r>
        <w:rPr>
          <w:rFonts w:ascii="Arial" w:hAnsi="Arial" w:cs="Arial"/>
          <w:sz w:val="14"/>
          <w:szCs w:val="14"/>
        </w:rPr>
        <w:t xml:space="preserve">F: </w:t>
      </w:r>
      <w:r w:rsidRPr="0065322D">
        <w:rPr>
          <w:rFonts w:ascii="Arial" w:hAnsi="Arial" w:cs="Arial"/>
          <w:sz w:val="14"/>
          <w:szCs w:val="14"/>
        </w:rPr>
        <w:t>Too unreliable to be published.</w:t>
      </w:r>
    </w:p>
    <w:p w:rsidR="00490031" w:rsidRDefault="00490031" w:rsidP="00490031"/>
    <w:p w:rsidR="00490031" w:rsidRDefault="00490031" w:rsidP="00CA61D2">
      <w:pPr>
        <w:spacing w:after="0"/>
      </w:pPr>
      <w:r>
        <w:br w:type="page"/>
      </w: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490031"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Table </w:t>
            </w:r>
            <w:r>
              <w:rPr>
                <w:rFonts w:ascii="Arial" w:eastAsia="Times New Roman" w:hAnsi="Arial" w:cs="Arial"/>
                <w:b/>
                <w:bCs/>
                <w:color w:val="000000"/>
                <w:sz w:val="14"/>
                <w:szCs w:val="14"/>
              </w:rPr>
              <w:t>A</w:t>
            </w:r>
            <w:r w:rsidRPr="00880020">
              <w:rPr>
                <w:rFonts w:ascii="Arial" w:eastAsia="Times New Roman" w:hAnsi="Arial" w:cs="Arial"/>
                <w:b/>
                <w:bCs/>
                <w:color w:val="000000"/>
                <w:sz w:val="14"/>
                <w:szCs w:val="14"/>
              </w:rPr>
              <w:t>1</w:t>
            </w:r>
            <w:r>
              <w:rPr>
                <w:rFonts w:ascii="Arial" w:eastAsia="Times New Roman" w:hAnsi="Arial" w:cs="Arial"/>
                <w:b/>
                <w:bCs/>
                <w:color w:val="000000"/>
                <w:sz w:val="14"/>
                <w:szCs w:val="14"/>
              </w:rPr>
              <w:t>b</w:t>
            </w:r>
            <w:r w:rsidRPr="00880020">
              <w:rPr>
                <w:rFonts w:ascii="Arial" w:eastAsia="Times New Roman" w:hAnsi="Arial" w:cs="Arial"/>
                <w:b/>
                <w:bCs/>
                <w:color w:val="000000"/>
                <w:sz w:val="14"/>
                <w:szCs w:val="14"/>
              </w:rPr>
              <w:t>. Market income and government transfer income of low-income, working</w:t>
            </w:r>
            <w:r>
              <w:rPr>
                <w:rFonts w:ascii="Arial" w:eastAsia="Times New Roman" w:hAnsi="Arial" w:cs="Arial"/>
                <w:b/>
                <w:bCs/>
                <w:color w:val="000000"/>
                <w:sz w:val="14"/>
                <w:szCs w:val="14"/>
              </w:rPr>
              <w:t>-age people (16-64 years) without disabilities, by province</w:t>
            </w:r>
            <w:r w:rsidRPr="00880020">
              <w:rPr>
                <w:rFonts w:ascii="Arial" w:eastAsia="Times New Roman" w:hAnsi="Arial" w:cs="Arial"/>
                <w:b/>
                <w:bCs/>
                <w:color w:val="000000"/>
                <w:sz w:val="14"/>
                <w:szCs w:val="14"/>
              </w:rPr>
              <w:t xml:space="preserve"> (Source: SLID 2009 PUMF)</w:t>
            </w:r>
          </w:p>
        </w:tc>
      </w:tr>
      <w:tr w:rsidR="00490031"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490031"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183B54"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490031"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Low income working-age people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($16)</w:t>
            </w:r>
          </w:p>
        </w:tc>
        <w:tc>
          <w:tcPr>
            <w:tcW w:w="792"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$3,408</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$54</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$137</w:t>
            </w:r>
          </w:p>
        </w:tc>
        <w:tc>
          <w:tcPr>
            <w:tcW w:w="720" w:type="dxa"/>
            <w:tcBorders>
              <w:top w:val="single" w:sz="12" w:space="0" w:color="auto"/>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$32</w:t>
            </w:r>
          </w:p>
        </w:tc>
        <w:tc>
          <w:tcPr>
            <w:tcW w:w="720" w:type="dxa"/>
            <w:tcBorders>
              <w:top w:val="single" w:sz="12" w:space="0" w:color="auto"/>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$1,631</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$471</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w:t>
            </w:r>
          </w:p>
        </w:tc>
        <w:tc>
          <w:tcPr>
            <w:tcW w:w="81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$137</w:t>
            </w:r>
          </w:p>
        </w:tc>
        <w:tc>
          <w:tcPr>
            <w:tcW w:w="648"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$3,651</w:t>
            </w:r>
          </w:p>
        </w:tc>
        <w:tc>
          <w:tcPr>
            <w:tcW w:w="720" w:type="dxa"/>
            <w:tcBorders>
              <w:top w:val="single" w:sz="12" w:space="0" w:color="auto"/>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$135</w:t>
            </w:r>
          </w:p>
        </w:tc>
        <w:tc>
          <w:tcPr>
            <w:tcW w:w="720" w:type="dxa"/>
            <w:tcBorders>
              <w:top w:val="single" w:sz="12" w:space="0" w:color="auto"/>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$288</w:t>
            </w:r>
          </w:p>
        </w:tc>
        <w:tc>
          <w:tcPr>
            <w:tcW w:w="810" w:type="dxa"/>
            <w:tcBorders>
              <w:top w:val="single" w:sz="12" w:space="0" w:color="auto"/>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$269</w:t>
            </w:r>
          </w:p>
        </w:tc>
        <w:tc>
          <w:tcPr>
            <w:tcW w:w="810" w:type="dxa"/>
            <w:tcBorders>
              <w:top w:val="single" w:sz="12" w:space="0" w:color="auto"/>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$3,615</w:t>
            </w:r>
          </w:p>
        </w:tc>
        <w:tc>
          <w:tcPr>
            <w:tcW w:w="810" w:type="dxa"/>
            <w:tcBorders>
              <w:top w:val="single" w:sz="12" w:space="0" w:color="auto"/>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$6,618</w:t>
            </w:r>
          </w:p>
        </w:tc>
        <w:tc>
          <w:tcPr>
            <w:tcW w:w="810" w:type="dxa"/>
            <w:tcBorders>
              <w:top w:val="single" w:sz="12" w:space="0" w:color="auto"/>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$10,233</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$143</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$6,134</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$27</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$81</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$177</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$1,097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$304</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$93</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$155</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$6,563</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$2,870</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$9,433</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($133)</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$4,557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$38</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$50</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$908</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$703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$416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$640</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$1,004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$153</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$112</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$5,420</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$3,400</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$8,820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$728</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$5,932</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$110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$236</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$46</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$242</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$1,261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$727</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$1,306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$224</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$7,295</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$4,464</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$11,759</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$845</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$5,906</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$135</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$578</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$21</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$162</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$1,163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$435</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$705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$186</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$288</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$7,646</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$3,251</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$10,897</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$799</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$7,229</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$12</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$265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$24</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$32</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$1,206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$567</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$902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$155</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$361</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$8,361</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$3,698</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$12,059</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$235</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$5,391</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$47</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$44</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$135</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$1,838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$223</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$205</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$403</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$5,859</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$4,319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$10,178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$13,610</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$67</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$275</w:t>
            </w:r>
          </w:p>
        </w:tc>
        <w:tc>
          <w:tcPr>
            <w:tcW w:w="810" w:type="dxa"/>
            <w:tcBorders>
              <w:top w:val="nil"/>
              <w:left w:val="nil"/>
              <w:bottom w:val="nil"/>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$17</w:t>
            </w:r>
          </w:p>
        </w:tc>
        <w:tc>
          <w:tcPr>
            <w:tcW w:w="720" w:type="dxa"/>
            <w:tcBorders>
              <w:top w:val="nil"/>
              <w:left w:val="nil"/>
              <w:bottom w:val="nil"/>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$244</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$1,328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$92</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$491</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$214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$191</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$258</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$14,230</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$2,991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$17,220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$501</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$7,776</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$546</w:t>
            </w:r>
          </w:p>
        </w:tc>
        <w:tc>
          <w:tcPr>
            <w:tcW w:w="810" w:type="dxa"/>
            <w:tcBorders>
              <w:top w:val="nil"/>
              <w:left w:val="nil"/>
              <w:bottom w:val="nil"/>
              <w:right w:val="single" w:sz="4" w:space="0" w:color="000000"/>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$57</w:t>
            </w:r>
          </w:p>
        </w:tc>
        <w:tc>
          <w:tcPr>
            <w:tcW w:w="720" w:type="dxa"/>
            <w:tcBorders>
              <w:top w:val="nil"/>
              <w:left w:val="nil"/>
              <w:bottom w:val="nil"/>
              <w:right w:val="nil"/>
            </w:tcBorders>
            <w:shd w:val="clear" w:color="auto" w:fill="auto"/>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$342</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$952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$531</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$110</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$235</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$9,223</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$2,555</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$11,778</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$606</w:t>
            </w:r>
          </w:p>
        </w:tc>
        <w:tc>
          <w:tcPr>
            <w:tcW w:w="792"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$7,157</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$83</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$416</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$36</w:t>
            </w:r>
          </w:p>
        </w:tc>
        <w:tc>
          <w:tcPr>
            <w:tcW w:w="720" w:type="dxa"/>
            <w:tcBorders>
              <w:top w:val="nil"/>
              <w:left w:val="nil"/>
              <w:bottom w:val="single" w:sz="12" w:space="0" w:color="auto"/>
              <w:right w:val="nil"/>
            </w:tcBorders>
            <w:shd w:val="clear" w:color="000000" w:fill="B7DEE8"/>
            <w:noWrap/>
            <w:vAlign w:val="center"/>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$229</w:t>
            </w:r>
          </w:p>
        </w:tc>
        <w:tc>
          <w:tcPr>
            <w:tcW w:w="720" w:type="dxa"/>
            <w:tcBorders>
              <w:top w:val="nil"/>
              <w:left w:val="single" w:sz="12" w:space="0" w:color="000000"/>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$1,173</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$150</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$525</w:t>
            </w:r>
          </w:p>
        </w:tc>
        <w:tc>
          <w:tcPr>
            <w:tcW w:w="648"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$46</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$751</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$176</w:t>
            </w:r>
          </w:p>
        </w:tc>
        <w:tc>
          <w:tcPr>
            <w:tcW w:w="720" w:type="dxa"/>
            <w:tcBorders>
              <w:top w:val="nil"/>
              <w:left w:val="nil"/>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$290</w:t>
            </w:r>
          </w:p>
        </w:tc>
        <w:tc>
          <w:tcPr>
            <w:tcW w:w="810" w:type="dxa"/>
            <w:tcBorders>
              <w:top w:val="nil"/>
              <w:left w:val="single" w:sz="4" w:space="0" w:color="000000"/>
              <w:bottom w:val="single" w:sz="12" w:space="0" w:color="auto"/>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$283</w:t>
            </w:r>
          </w:p>
        </w:tc>
        <w:tc>
          <w:tcPr>
            <w:tcW w:w="810" w:type="dxa"/>
            <w:tcBorders>
              <w:top w:val="nil"/>
              <w:left w:val="nil"/>
              <w:bottom w:val="single" w:sz="12" w:space="0" w:color="auto"/>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$8,527</w:t>
            </w:r>
          </w:p>
        </w:tc>
        <w:tc>
          <w:tcPr>
            <w:tcW w:w="810" w:type="dxa"/>
            <w:tcBorders>
              <w:top w:val="nil"/>
              <w:left w:val="nil"/>
              <w:bottom w:val="single" w:sz="12" w:space="0" w:color="auto"/>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$3,413</w:t>
            </w:r>
          </w:p>
        </w:tc>
        <w:tc>
          <w:tcPr>
            <w:tcW w:w="810" w:type="dxa"/>
            <w:tcBorders>
              <w:top w:val="nil"/>
              <w:left w:val="nil"/>
              <w:bottom w:val="single" w:sz="12" w:space="0" w:color="auto"/>
              <w:right w:val="single" w:sz="8"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$11,940</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Low income working-age people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nil"/>
              <w:bottom w:val="single" w:sz="12" w:space="0" w:color="auto"/>
              <w:right w:val="single" w:sz="4"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(0.2%)</w:t>
            </w:r>
          </w:p>
        </w:tc>
        <w:tc>
          <w:tcPr>
            <w:tcW w:w="792"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33.3%</w:t>
            </w:r>
          </w:p>
        </w:tc>
        <w:tc>
          <w:tcPr>
            <w:tcW w:w="810" w:type="dxa"/>
            <w:tcBorders>
              <w:top w:val="single" w:sz="12" w:space="0" w:color="auto"/>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single" w:sz="12" w:space="0" w:color="auto"/>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0.5%</w:t>
            </w:r>
          </w:p>
        </w:tc>
        <w:tc>
          <w:tcPr>
            <w:tcW w:w="810" w:type="dxa"/>
            <w:tcBorders>
              <w:top w:val="single" w:sz="12" w:space="0" w:color="auto"/>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w:t>
            </w:r>
          </w:p>
        </w:tc>
        <w:tc>
          <w:tcPr>
            <w:tcW w:w="720" w:type="dxa"/>
            <w:tcBorders>
              <w:top w:val="single" w:sz="12" w:space="0" w:color="auto"/>
              <w:left w:val="nil"/>
              <w:bottom w:val="nil"/>
              <w:right w:val="nil"/>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0.3%</w:t>
            </w:r>
          </w:p>
        </w:tc>
        <w:tc>
          <w:tcPr>
            <w:tcW w:w="720" w:type="dxa"/>
            <w:tcBorders>
              <w:top w:val="single" w:sz="12" w:space="0" w:color="auto"/>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15.9%</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4.6%</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648"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35.7%</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single" w:sz="12" w:space="0" w:color="auto"/>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810" w:type="dxa"/>
            <w:tcBorders>
              <w:top w:val="single" w:sz="12" w:space="0" w:color="auto"/>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single" w:sz="12" w:space="0" w:color="auto"/>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35.3%</w:t>
            </w:r>
          </w:p>
        </w:tc>
        <w:tc>
          <w:tcPr>
            <w:tcW w:w="810" w:type="dxa"/>
            <w:tcBorders>
              <w:top w:val="single" w:sz="12" w:space="0" w:color="auto"/>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64.7%</w:t>
            </w:r>
          </w:p>
        </w:tc>
        <w:tc>
          <w:tcPr>
            <w:tcW w:w="810" w:type="dxa"/>
            <w:tcBorders>
              <w:top w:val="single" w:sz="12" w:space="0" w:color="auto"/>
              <w:left w:val="nil"/>
              <w:bottom w:val="nil"/>
              <w:right w:val="single" w:sz="8"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B1143C" w:rsidRPr="00880020" w:rsidTr="00474C78">
        <w:trPr>
          <w:trHeight w:val="20"/>
        </w:trPr>
        <w:tc>
          <w:tcPr>
            <w:tcW w:w="1188" w:type="dxa"/>
            <w:tcBorders>
              <w:top w:val="nil"/>
              <w:left w:val="single" w:sz="12" w:space="0" w:color="000000"/>
              <w:bottom w:val="nil"/>
              <w:right w:val="single" w:sz="12" w:space="0" w:color="000000"/>
            </w:tcBorders>
            <w:shd w:val="clear" w:color="000000" w:fill="B7DEE8"/>
            <w:hideMark/>
          </w:tcPr>
          <w:p w:rsidR="00B1143C" w:rsidRPr="00880020" w:rsidRDefault="00B1143C"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auto"/>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auto"/>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8" w:space="0" w:color="auto"/>
            </w:tcBorders>
            <w:shd w:val="clear" w:color="000000" w:fill="B7DEE8"/>
            <w:noWrap/>
            <w:vAlign w:val="center"/>
            <w:hideMark/>
          </w:tcPr>
          <w:p w:rsidR="00B1143C" w:rsidRPr="00880020" w:rsidRDefault="00B1143C" w:rsidP="00474C7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65.0%</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0.3%</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0.9%</w:t>
            </w:r>
          </w:p>
        </w:tc>
        <w:tc>
          <w:tcPr>
            <w:tcW w:w="720" w:type="dxa"/>
            <w:tcBorders>
              <w:top w:val="nil"/>
              <w:left w:val="nil"/>
              <w:bottom w:val="nil"/>
              <w:right w:val="nil"/>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1.9%</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69.6%</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30.4%</w:t>
            </w:r>
          </w:p>
        </w:tc>
        <w:tc>
          <w:tcPr>
            <w:tcW w:w="810" w:type="dxa"/>
            <w:tcBorders>
              <w:top w:val="nil"/>
              <w:left w:val="nil"/>
              <w:bottom w:val="nil"/>
              <w:right w:val="single" w:sz="8"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FF0000"/>
                <w:sz w:val="14"/>
                <w:szCs w:val="14"/>
              </w:rPr>
              <w:t>(1.5%)</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51.7%</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0.6%</w:t>
            </w:r>
          </w:p>
        </w:tc>
        <w:tc>
          <w:tcPr>
            <w:tcW w:w="720" w:type="dxa"/>
            <w:tcBorders>
              <w:top w:val="nil"/>
              <w:left w:val="nil"/>
              <w:bottom w:val="nil"/>
              <w:right w:val="nil"/>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10.3%</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7.3%</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61.5%</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38.5%</w:t>
            </w:r>
          </w:p>
        </w:tc>
        <w:tc>
          <w:tcPr>
            <w:tcW w:w="810" w:type="dxa"/>
            <w:tcBorders>
              <w:top w:val="nil"/>
              <w:left w:val="nil"/>
              <w:bottom w:val="nil"/>
              <w:right w:val="single" w:sz="8"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6.2%</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50.4%</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0.9%</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2.0%</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720" w:type="dxa"/>
            <w:tcBorders>
              <w:top w:val="nil"/>
              <w:left w:val="nil"/>
              <w:bottom w:val="nil"/>
              <w:right w:val="nil"/>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2.1%</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6.2%</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62.0%</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38.0%</w:t>
            </w:r>
          </w:p>
        </w:tc>
        <w:tc>
          <w:tcPr>
            <w:tcW w:w="810" w:type="dxa"/>
            <w:tcBorders>
              <w:top w:val="nil"/>
              <w:left w:val="nil"/>
              <w:bottom w:val="nil"/>
              <w:right w:val="single" w:sz="8"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7.8%</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54.2%</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1.2%</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5.3%</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0.2%</w:t>
            </w:r>
          </w:p>
        </w:tc>
        <w:tc>
          <w:tcPr>
            <w:tcW w:w="720" w:type="dxa"/>
            <w:tcBorders>
              <w:top w:val="nil"/>
              <w:left w:val="nil"/>
              <w:bottom w:val="nil"/>
              <w:right w:val="nil"/>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1.5%</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6.5%</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70.2%</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29.8%</w:t>
            </w:r>
          </w:p>
        </w:tc>
        <w:tc>
          <w:tcPr>
            <w:tcW w:w="810" w:type="dxa"/>
            <w:tcBorders>
              <w:top w:val="nil"/>
              <w:left w:val="nil"/>
              <w:bottom w:val="nil"/>
              <w:right w:val="single" w:sz="8"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6.6%</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59.9%</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2.2%</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0.2%</w:t>
            </w:r>
          </w:p>
        </w:tc>
        <w:tc>
          <w:tcPr>
            <w:tcW w:w="720" w:type="dxa"/>
            <w:tcBorders>
              <w:top w:val="nil"/>
              <w:left w:val="nil"/>
              <w:bottom w:val="nil"/>
              <w:right w:val="nil"/>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0.3%</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4.7%</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69.3%</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30.7%</w:t>
            </w:r>
          </w:p>
        </w:tc>
        <w:tc>
          <w:tcPr>
            <w:tcW w:w="810" w:type="dxa"/>
            <w:tcBorders>
              <w:top w:val="nil"/>
              <w:left w:val="nil"/>
              <w:bottom w:val="nil"/>
              <w:right w:val="single" w:sz="8"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53.0%</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0.5%</w:t>
            </w:r>
          </w:p>
        </w:tc>
        <w:tc>
          <w:tcPr>
            <w:tcW w:w="810" w:type="dxa"/>
            <w:tcBorders>
              <w:top w:val="nil"/>
              <w:left w:val="nil"/>
              <w:bottom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720" w:type="dxa"/>
            <w:tcBorders>
              <w:top w:val="nil"/>
              <w:left w:val="nil"/>
              <w:bottom w:val="nil"/>
              <w:right w:val="nil"/>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1.3%</w:t>
            </w:r>
          </w:p>
        </w:tc>
        <w:tc>
          <w:tcPr>
            <w:tcW w:w="720" w:type="dxa"/>
            <w:tcBorders>
              <w:top w:val="nil"/>
              <w:left w:val="single" w:sz="12" w:space="0" w:color="000000"/>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w:t>
            </w:r>
          </w:p>
        </w:tc>
        <w:tc>
          <w:tcPr>
            <w:tcW w:w="72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57.6%</w:t>
            </w:r>
          </w:p>
        </w:tc>
        <w:tc>
          <w:tcPr>
            <w:tcW w:w="810" w:type="dxa"/>
            <w:tcBorders>
              <w:top w:val="nil"/>
              <w:left w:val="nil"/>
              <w:bottom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42.4%</w:t>
            </w:r>
          </w:p>
        </w:tc>
        <w:tc>
          <w:tcPr>
            <w:tcW w:w="810" w:type="dxa"/>
            <w:tcBorders>
              <w:top w:val="nil"/>
              <w:left w:val="nil"/>
              <w:bottom w:val="nil"/>
              <w:right w:val="single" w:sz="8"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79.0%</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0.4%</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1.6%</w:t>
            </w:r>
          </w:p>
        </w:tc>
        <w:tc>
          <w:tcPr>
            <w:tcW w:w="810" w:type="dxa"/>
            <w:tcBorders>
              <w:top w:val="nil"/>
              <w:left w:val="nil"/>
              <w:bottom w:val="nil"/>
              <w:right w:val="single" w:sz="4" w:space="0" w:color="000000"/>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0.1%</w:t>
            </w:r>
          </w:p>
        </w:tc>
        <w:tc>
          <w:tcPr>
            <w:tcW w:w="720" w:type="dxa"/>
            <w:tcBorders>
              <w:top w:val="nil"/>
              <w:left w:val="nil"/>
              <w:bottom w:val="nil"/>
              <w:right w:val="nil"/>
            </w:tcBorders>
            <w:shd w:val="clear" w:color="auto" w:fill="auto"/>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1.4%</w:t>
            </w:r>
          </w:p>
        </w:tc>
        <w:tc>
          <w:tcPr>
            <w:tcW w:w="720" w:type="dxa"/>
            <w:tcBorders>
              <w:top w:val="nil"/>
              <w:left w:val="single" w:sz="12" w:space="0" w:color="000000"/>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0.5%</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82.6%</w:t>
            </w:r>
          </w:p>
        </w:tc>
        <w:tc>
          <w:tcPr>
            <w:tcW w:w="810" w:type="dxa"/>
            <w:tcBorders>
              <w:top w:val="nil"/>
              <w:left w:val="nil"/>
              <w:bottom w:val="nil"/>
              <w:right w:val="single" w:sz="4"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17.4%</w:t>
            </w:r>
          </w:p>
        </w:tc>
        <w:tc>
          <w:tcPr>
            <w:tcW w:w="810" w:type="dxa"/>
            <w:tcBorders>
              <w:top w:val="nil"/>
              <w:left w:val="nil"/>
              <w:bottom w:val="nil"/>
              <w:right w:val="single" w:sz="8"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w:t>
            </w:r>
          </w:p>
        </w:tc>
        <w:tc>
          <w:tcPr>
            <w:tcW w:w="792"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66.0%</w:t>
            </w:r>
          </w:p>
        </w:tc>
        <w:tc>
          <w:tcPr>
            <w:tcW w:w="810" w:type="dxa"/>
            <w:tcBorders>
              <w:top w:val="nil"/>
              <w:left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0.0%</w:t>
            </w:r>
          </w:p>
        </w:tc>
        <w:tc>
          <w:tcPr>
            <w:tcW w:w="810" w:type="dxa"/>
            <w:tcBorders>
              <w:top w:val="nil"/>
              <w:left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4.6%</w:t>
            </w:r>
          </w:p>
        </w:tc>
        <w:tc>
          <w:tcPr>
            <w:tcW w:w="810" w:type="dxa"/>
            <w:tcBorders>
              <w:top w:val="nil"/>
              <w:left w:val="nil"/>
              <w:right w:val="single" w:sz="4" w:space="0" w:color="000000"/>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0.5%</w:t>
            </w:r>
          </w:p>
        </w:tc>
        <w:tc>
          <w:tcPr>
            <w:tcW w:w="720" w:type="dxa"/>
            <w:tcBorders>
              <w:top w:val="nil"/>
              <w:left w:val="nil"/>
              <w:right w:val="nil"/>
            </w:tcBorders>
            <w:shd w:val="clear" w:color="000000" w:fill="B7DEE8"/>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2.9%</w:t>
            </w:r>
          </w:p>
        </w:tc>
        <w:tc>
          <w:tcPr>
            <w:tcW w:w="720" w:type="dxa"/>
            <w:tcBorders>
              <w:top w:val="nil"/>
              <w:left w:val="single" w:sz="12" w:space="0" w:color="000000"/>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8.1%</w:t>
            </w:r>
          </w:p>
        </w:tc>
        <w:tc>
          <w:tcPr>
            <w:tcW w:w="72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w:t>
            </w:r>
          </w:p>
        </w:tc>
        <w:tc>
          <w:tcPr>
            <w:tcW w:w="648"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0.5%</w:t>
            </w:r>
          </w:p>
        </w:tc>
        <w:tc>
          <w:tcPr>
            <w:tcW w:w="72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w:t>
            </w:r>
          </w:p>
        </w:tc>
        <w:tc>
          <w:tcPr>
            <w:tcW w:w="720" w:type="dxa"/>
            <w:tcBorders>
              <w:top w:val="nil"/>
              <w:left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w:t>
            </w:r>
          </w:p>
        </w:tc>
        <w:tc>
          <w:tcPr>
            <w:tcW w:w="810" w:type="dxa"/>
            <w:tcBorders>
              <w:top w:val="nil"/>
              <w:left w:val="single" w:sz="4" w:space="0" w:color="000000"/>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w:t>
            </w:r>
          </w:p>
        </w:tc>
        <w:tc>
          <w:tcPr>
            <w:tcW w:w="810" w:type="dxa"/>
            <w:tcBorders>
              <w:top w:val="nil"/>
              <w:left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78.3%</w:t>
            </w:r>
          </w:p>
        </w:tc>
        <w:tc>
          <w:tcPr>
            <w:tcW w:w="810" w:type="dxa"/>
            <w:tcBorders>
              <w:top w:val="nil"/>
              <w:left w:val="nil"/>
              <w:right w:val="single" w:sz="4"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21.7%</w:t>
            </w:r>
          </w:p>
        </w:tc>
        <w:tc>
          <w:tcPr>
            <w:tcW w:w="810" w:type="dxa"/>
            <w:tcBorders>
              <w:top w:val="nil"/>
              <w:left w:val="nil"/>
              <w:right w:val="single" w:sz="8"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FFFFFF"/>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5.1%</w:t>
            </w:r>
          </w:p>
        </w:tc>
        <w:tc>
          <w:tcPr>
            <w:tcW w:w="792"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59.9%</w:t>
            </w:r>
          </w:p>
        </w:tc>
        <w:tc>
          <w:tcPr>
            <w:tcW w:w="810" w:type="dxa"/>
            <w:tcBorders>
              <w:top w:val="nil"/>
              <w:left w:val="nil"/>
              <w:bottom w:val="single" w:sz="12" w:space="0" w:color="auto"/>
              <w:right w:val="single" w:sz="4" w:space="0" w:color="000000"/>
            </w:tcBorders>
            <w:shd w:val="clear" w:color="000000" w:fill="FFFFFF"/>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0.7%</w:t>
            </w:r>
          </w:p>
        </w:tc>
        <w:tc>
          <w:tcPr>
            <w:tcW w:w="810" w:type="dxa"/>
            <w:tcBorders>
              <w:top w:val="nil"/>
              <w:left w:val="nil"/>
              <w:bottom w:val="single" w:sz="12" w:space="0" w:color="auto"/>
              <w:right w:val="single" w:sz="4" w:space="0" w:color="000000"/>
            </w:tcBorders>
            <w:shd w:val="clear" w:color="000000" w:fill="FFFFFF"/>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3.5%</w:t>
            </w:r>
          </w:p>
        </w:tc>
        <w:tc>
          <w:tcPr>
            <w:tcW w:w="810" w:type="dxa"/>
            <w:tcBorders>
              <w:top w:val="nil"/>
              <w:left w:val="nil"/>
              <w:bottom w:val="single" w:sz="12" w:space="0" w:color="auto"/>
              <w:right w:val="single" w:sz="4" w:space="0" w:color="000000"/>
            </w:tcBorders>
            <w:shd w:val="clear" w:color="000000" w:fill="FFFFFF"/>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0.3%</w:t>
            </w:r>
          </w:p>
        </w:tc>
        <w:tc>
          <w:tcPr>
            <w:tcW w:w="720" w:type="dxa"/>
            <w:tcBorders>
              <w:top w:val="nil"/>
              <w:left w:val="nil"/>
              <w:bottom w:val="single" w:sz="12" w:space="0" w:color="auto"/>
              <w:right w:val="nil"/>
            </w:tcBorders>
            <w:shd w:val="clear" w:color="000000" w:fill="FFFFFF"/>
            <w:noWrap/>
            <w:vAlign w:val="bottom"/>
            <w:hideMark/>
          </w:tcPr>
          <w:p w:rsidR="00490031" w:rsidRPr="00814156" w:rsidRDefault="00490031" w:rsidP="00186CBB">
            <w:pPr>
              <w:spacing w:after="0"/>
              <w:jc w:val="right"/>
              <w:rPr>
                <w:rFonts w:ascii="Arial" w:hAnsi="Arial" w:cs="Arial"/>
                <w:color w:val="000000"/>
                <w:sz w:val="14"/>
                <w:szCs w:val="14"/>
              </w:rPr>
            </w:pPr>
            <w:r w:rsidRPr="00814156">
              <w:rPr>
                <w:rFonts w:ascii="Arial" w:hAnsi="Arial" w:cs="Arial"/>
                <w:color w:val="000000"/>
                <w:sz w:val="14"/>
                <w:szCs w:val="14"/>
              </w:rPr>
              <w:t>1.9%</w:t>
            </w:r>
          </w:p>
        </w:tc>
        <w:tc>
          <w:tcPr>
            <w:tcW w:w="720" w:type="dxa"/>
            <w:tcBorders>
              <w:top w:val="nil"/>
              <w:left w:val="single" w:sz="12" w:space="0" w:color="000000"/>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9.8%</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0.2%</w:t>
            </w:r>
          </w:p>
        </w:tc>
        <w:tc>
          <w:tcPr>
            <w:tcW w:w="81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4.4%</w:t>
            </w:r>
          </w:p>
        </w:tc>
        <w:tc>
          <w:tcPr>
            <w:tcW w:w="648"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6.3%</w:t>
            </w:r>
          </w:p>
        </w:tc>
        <w:tc>
          <w:tcPr>
            <w:tcW w:w="720" w:type="dxa"/>
            <w:tcBorders>
              <w:top w:val="nil"/>
              <w:left w:val="nil"/>
              <w:bottom w:val="single" w:sz="12" w:space="0" w:color="auto"/>
              <w:right w:val="single" w:sz="4"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720" w:type="dxa"/>
            <w:tcBorders>
              <w:top w:val="nil"/>
              <w:left w:val="nil"/>
              <w:bottom w:val="single" w:sz="12" w:space="0" w:color="auto"/>
              <w:right w:val="nil"/>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w:t>
            </w:r>
          </w:p>
        </w:tc>
        <w:tc>
          <w:tcPr>
            <w:tcW w:w="810" w:type="dxa"/>
            <w:tcBorders>
              <w:top w:val="nil"/>
              <w:left w:val="single" w:sz="4" w:space="0" w:color="000000"/>
              <w:bottom w:val="single" w:sz="12" w:space="0" w:color="auto"/>
              <w:right w:val="single" w:sz="12" w:space="0" w:color="000000"/>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w:t>
            </w:r>
          </w:p>
        </w:tc>
        <w:tc>
          <w:tcPr>
            <w:tcW w:w="810" w:type="dxa"/>
            <w:tcBorders>
              <w:top w:val="nil"/>
              <w:left w:val="nil"/>
              <w:bottom w:val="single" w:sz="12" w:space="0" w:color="auto"/>
              <w:right w:val="single" w:sz="4" w:space="0" w:color="auto"/>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71.4%</w:t>
            </w:r>
          </w:p>
        </w:tc>
        <w:tc>
          <w:tcPr>
            <w:tcW w:w="810" w:type="dxa"/>
            <w:tcBorders>
              <w:top w:val="nil"/>
              <w:left w:val="nil"/>
              <w:bottom w:val="single" w:sz="12" w:space="0" w:color="auto"/>
              <w:right w:val="single" w:sz="4" w:space="0" w:color="auto"/>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28.6%</w:t>
            </w:r>
          </w:p>
        </w:tc>
        <w:tc>
          <w:tcPr>
            <w:tcW w:w="810" w:type="dxa"/>
            <w:tcBorders>
              <w:top w:val="nil"/>
              <w:left w:val="nil"/>
              <w:bottom w:val="single" w:sz="12" w:space="0" w:color="auto"/>
              <w:right w:val="single" w:sz="8" w:space="0" w:color="auto"/>
            </w:tcBorders>
            <w:shd w:val="clear" w:color="000000" w:fill="FFFFFF"/>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bl>
    <w:p w:rsidR="00490031" w:rsidRDefault="00490031" w:rsidP="00490031">
      <w:pPr>
        <w:rPr>
          <w:rFonts w:ascii="Arial" w:hAnsi="Arial" w:cs="Arial"/>
          <w:sz w:val="14"/>
          <w:szCs w:val="14"/>
        </w:rPr>
      </w:pPr>
      <w:r>
        <w:rPr>
          <w:rFonts w:ascii="Arial" w:hAnsi="Arial" w:cs="Arial"/>
          <w:sz w:val="14"/>
          <w:szCs w:val="14"/>
        </w:rPr>
        <w:t xml:space="preserve">F: </w:t>
      </w:r>
      <w:r w:rsidRPr="0065322D">
        <w:rPr>
          <w:rFonts w:ascii="Arial" w:hAnsi="Arial" w:cs="Arial"/>
          <w:sz w:val="14"/>
          <w:szCs w:val="14"/>
        </w:rPr>
        <w:t>Too unreliable to be published.</w:t>
      </w:r>
    </w:p>
    <w:p w:rsidR="00490031" w:rsidRDefault="00490031" w:rsidP="00490031"/>
    <w:p w:rsidR="00490031" w:rsidRDefault="00490031" w:rsidP="00CA61D2">
      <w:pPr>
        <w:spacing w:after="0"/>
      </w:pPr>
      <w:r>
        <w:br w:type="page"/>
      </w: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490031"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Table </w:t>
            </w:r>
            <w:r>
              <w:rPr>
                <w:rFonts w:ascii="Arial" w:eastAsia="Times New Roman" w:hAnsi="Arial" w:cs="Arial"/>
                <w:b/>
                <w:bCs/>
                <w:color w:val="000000"/>
                <w:sz w:val="14"/>
                <w:szCs w:val="14"/>
              </w:rPr>
              <w:t>A</w:t>
            </w:r>
            <w:r w:rsidRPr="00880020">
              <w:rPr>
                <w:rFonts w:ascii="Arial" w:eastAsia="Times New Roman" w:hAnsi="Arial" w:cs="Arial"/>
                <w:b/>
                <w:bCs/>
                <w:color w:val="000000"/>
                <w:sz w:val="14"/>
                <w:szCs w:val="14"/>
              </w:rPr>
              <w:t>1</w:t>
            </w:r>
            <w:r>
              <w:rPr>
                <w:rFonts w:ascii="Arial" w:eastAsia="Times New Roman" w:hAnsi="Arial" w:cs="Arial"/>
                <w:b/>
                <w:bCs/>
                <w:color w:val="000000"/>
                <w:sz w:val="14"/>
                <w:szCs w:val="14"/>
              </w:rPr>
              <w:t>c</w:t>
            </w:r>
            <w:r w:rsidRPr="00880020">
              <w:rPr>
                <w:rFonts w:ascii="Arial" w:eastAsia="Times New Roman" w:hAnsi="Arial" w:cs="Arial"/>
                <w:b/>
                <w:bCs/>
                <w:color w:val="000000"/>
                <w:sz w:val="14"/>
                <w:szCs w:val="14"/>
              </w:rPr>
              <w:t>. Market income and government transfer income of working</w:t>
            </w:r>
            <w:r>
              <w:rPr>
                <w:rFonts w:ascii="Arial" w:eastAsia="Times New Roman" w:hAnsi="Arial" w:cs="Arial"/>
                <w:b/>
                <w:bCs/>
                <w:color w:val="000000"/>
                <w:sz w:val="14"/>
                <w:szCs w:val="14"/>
              </w:rPr>
              <w:t>-age people (16-64 years)  without disabilities and incomes above the LICO, by province</w:t>
            </w:r>
            <w:r w:rsidRPr="00880020">
              <w:rPr>
                <w:rFonts w:ascii="Arial" w:eastAsia="Times New Roman" w:hAnsi="Arial" w:cs="Arial"/>
                <w:b/>
                <w:bCs/>
                <w:color w:val="000000"/>
                <w:sz w:val="14"/>
                <w:szCs w:val="14"/>
              </w:rPr>
              <w:t xml:space="preserve"> (Source: SLID 2009 PUMF)</w:t>
            </w:r>
          </w:p>
        </w:tc>
      </w:tr>
      <w:tr w:rsidR="00490031"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490031"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183B54"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490031"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490031" w:rsidRPr="00880020" w:rsidTr="00186CBB">
        <w:trPr>
          <w:trHeight w:val="20"/>
        </w:trPr>
        <w:tc>
          <w:tcPr>
            <w:tcW w:w="5850" w:type="dxa"/>
            <w:gridSpan w:val="7"/>
            <w:tcBorders>
              <w:top w:val="single" w:sz="12" w:space="0" w:color="auto"/>
              <w:left w:val="single" w:sz="12" w:space="0" w:color="000000"/>
              <w:bottom w:val="single" w:sz="12" w:space="0" w:color="auto"/>
              <w:right w:val="single" w:sz="12" w:space="0" w:color="000000"/>
            </w:tcBorders>
            <w:shd w:val="clear" w:color="000000" w:fill="FFFFFF"/>
            <w:hideMark/>
          </w:tcPr>
          <w:p w:rsidR="00490031" w:rsidRPr="00715FAD" w:rsidRDefault="00490031" w:rsidP="00186CBB">
            <w:pPr>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Working-age</w:t>
            </w:r>
            <w:r w:rsidRPr="00880020">
              <w:rPr>
                <w:rFonts w:ascii="Arial" w:eastAsia="Times New Roman" w:hAnsi="Arial" w:cs="Arial"/>
                <w:b/>
                <w:bCs/>
                <w:color w:val="000000"/>
                <w:sz w:val="14"/>
                <w:szCs w:val="14"/>
              </w:rPr>
              <w:t xml:space="preserve"> people</w:t>
            </w:r>
            <w:r>
              <w:rPr>
                <w:rFonts w:ascii="Arial" w:eastAsia="Times New Roman" w:hAnsi="Arial" w:cs="Arial"/>
                <w:b/>
                <w:bCs/>
                <w:color w:val="000000"/>
                <w:sz w:val="14"/>
                <w:szCs w:val="14"/>
              </w:rPr>
              <w:t xml:space="preserve"> without disabilities and incomes above the LICO – Showing $$</w:t>
            </w:r>
          </w:p>
        </w:tc>
        <w:tc>
          <w:tcPr>
            <w:tcW w:w="720" w:type="dxa"/>
            <w:tcBorders>
              <w:top w:val="single" w:sz="12" w:space="0" w:color="auto"/>
              <w:left w:val="single" w:sz="12" w:space="0" w:color="auto"/>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single" w:sz="12" w:space="0" w:color="auto"/>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$1,165</w:t>
            </w:r>
          </w:p>
        </w:tc>
        <w:tc>
          <w:tcPr>
            <w:tcW w:w="792"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$29,636</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$1,410</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$247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$84</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$343</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$351</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$437</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$79</w:t>
            </w:r>
          </w:p>
        </w:tc>
        <w:tc>
          <w:tcPr>
            <w:tcW w:w="81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$2,866</w:t>
            </w:r>
          </w:p>
        </w:tc>
        <w:tc>
          <w:tcPr>
            <w:tcW w:w="648"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$114</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$204</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$25</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$102</w:t>
            </w:r>
          </w:p>
        </w:tc>
        <w:tc>
          <w:tcPr>
            <w:tcW w:w="810" w:type="dxa"/>
            <w:tcBorders>
              <w:top w:val="nil"/>
              <w:left w:val="nil"/>
              <w:bottom w:val="nil"/>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$114</w:t>
            </w:r>
          </w:p>
        </w:tc>
        <w:tc>
          <w:tcPr>
            <w:tcW w:w="810" w:type="dxa"/>
            <w:tcBorders>
              <w:top w:val="nil"/>
              <w:left w:val="nil"/>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$32,885</w:t>
            </w:r>
          </w:p>
        </w:tc>
        <w:tc>
          <w:tcPr>
            <w:tcW w:w="810" w:type="dxa"/>
            <w:tcBorders>
              <w:top w:val="nil"/>
              <w:left w:val="single" w:sz="4" w:space="0" w:color="000000"/>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$4,293</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$37,178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$1,385</w:t>
            </w:r>
          </w:p>
        </w:tc>
        <w:tc>
          <w:tcPr>
            <w:tcW w:w="792"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$27,060</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$1,084</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$893</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$88</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$360</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$398</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$223</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$22</w:t>
            </w:r>
          </w:p>
        </w:tc>
        <w:tc>
          <w:tcPr>
            <w:tcW w:w="81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$2,137</w:t>
            </w:r>
          </w:p>
        </w:tc>
        <w:tc>
          <w:tcPr>
            <w:tcW w:w="648"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$100</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$86</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$39</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$112</w:t>
            </w:r>
          </w:p>
        </w:tc>
        <w:tc>
          <w:tcPr>
            <w:tcW w:w="810" w:type="dxa"/>
            <w:tcBorders>
              <w:top w:val="nil"/>
              <w:left w:val="nil"/>
              <w:bottom w:val="nil"/>
              <w:right w:val="single" w:sz="12" w:space="0" w:color="auto"/>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$114</w:t>
            </w:r>
          </w:p>
        </w:tc>
        <w:tc>
          <w:tcPr>
            <w:tcW w:w="810" w:type="dxa"/>
            <w:tcBorders>
              <w:top w:val="nil"/>
              <w:left w:val="nil"/>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$30,870</w:t>
            </w:r>
          </w:p>
        </w:tc>
        <w:tc>
          <w:tcPr>
            <w:tcW w:w="810" w:type="dxa"/>
            <w:tcBorders>
              <w:top w:val="nil"/>
              <w:left w:val="single" w:sz="4" w:space="0" w:color="000000"/>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$3,231</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$34,101</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$1,788</w:t>
            </w:r>
          </w:p>
        </w:tc>
        <w:tc>
          <w:tcPr>
            <w:tcW w:w="792"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$31,417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$1,234</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$800</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$138</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$726</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$341</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$278</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$37</w:t>
            </w:r>
          </w:p>
        </w:tc>
        <w:tc>
          <w:tcPr>
            <w:tcW w:w="81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$1,278</w:t>
            </w:r>
          </w:p>
        </w:tc>
        <w:tc>
          <w:tcPr>
            <w:tcW w:w="648"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$46</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$59</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$36</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$98</w:t>
            </w:r>
          </w:p>
        </w:tc>
        <w:tc>
          <w:tcPr>
            <w:tcW w:w="810" w:type="dxa"/>
            <w:tcBorders>
              <w:top w:val="nil"/>
              <w:left w:val="nil"/>
              <w:bottom w:val="nil"/>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$107</w:t>
            </w:r>
          </w:p>
        </w:tc>
        <w:tc>
          <w:tcPr>
            <w:tcW w:w="810" w:type="dxa"/>
            <w:tcBorders>
              <w:top w:val="nil"/>
              <w:left w:val="nil"/>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$36,102</w:t>
            </w:r>
          </w:p>
        </w:tc>
        <w:tc>
          <w:tcPr>
            <w:tcW w:w="810" w:type="dxa"/>
            <w:tcBorders>
              <w:top w:val="nil"/>
              <w:left w:val="single" w:sz="4" w:space="0" w:color="000000"/>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$2,280</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$38,383</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$972</w:t>
            </w:r>
          </w:p>
        </w:tc>
        <w:tc>
          <w:tcPr>
            <w:tcW w:w="792"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$30,012</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$1,053</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$605</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$125</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$672</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$362</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$327</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w:t>
            </w:r>
          </w:p>
        </w:tc>
        <w:tc>
          <w:tcPr>
            <w:tcW w:w="81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$1,799</w:t>
            </w:r>
          </w:p>
        </w:tc>
        <w:tc>
          <w:tcPr>
            <w:tcW w:w="648"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$56</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$53</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$35</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$101</w:t>
            </w:r>
          </w:p>
        </w:tc>
        <w:tc>
          <w:tcPr>
            <w:tcW w:w="810" w:type="dxa"/>
            <w:tcBorders>
              <w:top w:val="nil"/>
              <w:left w:val="nil"/>
              <w:bottom w:val="nil"/>
              <w:right w:val="single" w:sz="12" w:space="0" w:color="auto"/>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$125</w:t>
            </w:r>
          </w:p>
        </w:tc>
        <w:tc>
          <w:tcPr>
            <w:tcW w:w="810" w:type="dxa"/>
            <w:tcBorders>
              <w:top w:val="nil"/>
              <w:left w:val="nil"/>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$33,439</w:t>
            </w:r>
          </w:p>
        </w:tc>
        <w:tc>
          <w:tcPr>
            <w:tcW w:w="810" w:type="dxa"/>
            <w:tcBorders>
              <w:top w:val="nil"/>
              <w:left w:val="single" w:sz="4" w:space="0" w:color="000000"/>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$2,866</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$36,306</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$1,971</w:t>
            </w:r>
          </w:p>
        </w:tc>
        <w:tc>
          <w:tcPr>
            <w:tcW w:w="792"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$30,464</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$1,117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$1,082</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$157</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$508</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$771</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$312</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$12</w:t>
            </w:r>
          </w:p>
        </w:tc>
        <w:tc>
          <w:tcPr>
            <w:tcW w:w="81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$1,280</w:t>
            </w:r>
          </w:p>
        </w:tc>
        <w:tc>
          <w:tcPr>
            <w:tcW w:w="648"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$154</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$86</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$38</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$104</w:t>
            </w:r>
          </w:p>
        </w:tc>
        <w:tc>
          <w:tcPr>
            <w:tcW w:w="810" w:type="dxa"/>
            <w:tcBorders>
              <w:top w:val="nil"/>
              <w:left w:val="nil"/>
              <w:bottom w:val="nil"/>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$182</w:t>
            </w:r>
          </w:p>
        </w:tc>
        <w:tc>
          <w:tcPr>
            <w:tcW w:w="810" w:type="dxa"/>
            <w:tcBorders>
              <w:top w:val="nil"/>
              <w:left w:val="nil"/>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$35,299</w:t>
            </w:r>
          </w:p>
        </w:tc>
        <w:tc>
          <w:tcPr>
            <w:tcW w:w="810" w:type="dxa"/>
            <w:tcBorders>
              <w:top w:val="nil"/>
              <w:left w:val="single" w:sz="4" w:space="0" w:color="000000"/>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$2,939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$38,238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$3,176</w:t>
            </w:r>
          </w:p>
        </w:tc>
        <w:tc>
          <w:tcPr>
            <w:tcW w:w="792"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$34,846</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$955</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$781</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$139</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$563</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$359</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$178</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w:t>
            </w:r>
          </w:p>
        </w:tc>
        <w:tc>
          <w:tcPr>
            <w:tcW w:w="81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$848</w:t>
            </w:r>
          </w:p>
        </w:tc>
        <w:tc>
          <w:tcPr>
            <w:tcW w:w="648"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$92</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$154</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$41</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$90</w:t>
            </w:r>
          </w:p>
        </w:tc>
        <w:tc>
          <w:tcPr>
            <w:tcW w:w="810" w:type="dxa"/>
            <w:tcBorders>
              <w:top w:val="nil"/>
              <w:left w:val="nil"/>
              <w:bottom w:val="nil"/>
              <w:right w:val="single" w:sz="12" w:space="0" w:color="auto"/>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$157</w:t>
            </w:r>
          </w:p>
        </w:tc>
        <w:tc>
          <w:tcPr>
            <w:tcW w:w="810" w:type="dxa"/>
            <w:tcBorders>
              <w:top w:val="nil"/>
              <w:left w:val="nil"/>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$40,459</w:t>
            </w:r>
          </w:p>
        </w:tc>
        <w:tc>
          <w:tcPr>
            <w:tcW w:w="810" w:type="dxa"/>
            <w:tcBorders>
              <w:top w:val="nil"/>
              <w:left w:val="single" w:sz="4" w:space="0" w:color="000000"/>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$1,924</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$42,382</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$2,287</w:t>
            </w:r>
          </w:p>
        </w:tc>
        <w:tc>
          <w:tcPr>
            <w:tcW w:w="792"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$34,040</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$645</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$1,137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$115</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$412</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$390</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$211</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$23</w:t>
            </w:r>
          </w:p>
        </w:tc>
        <w:tc>
          <w:tcPr>
            <w:tcW w:w="81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$684</w:t>
            </w:r>
          </w:p>
        </w:tc>
        <w:tc>
          <w:tcPr>
            <w:tcW w:w="648"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$42</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$79</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$44</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$96</w:t>
            </w:r>
          </w:p>
        </w:tc>
        <w:tc>
          <w:tcPr>
            <w:tcW w:w="810" w:type="dxa"/>
            <w:tcBorders>
              <w:top w:val="nil"/>
              <w:left w:val="nil"/>
              <w:bottom w:val="nil"/>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$224</w:t>
            </w:r>
          </w:p>
        </w:tc>
        <w:tc>
          <w:tcPr>
            <w:tcW w:w="810" w:type="dxa"/>
            <w:tcBorders>
              <w:top w:val="nil"/>
              <w:left w:val="nil"/>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$38,636</w:t>
            </w:r>
          </w:p>
        </w:tc>
        <w:tc>
          <w:tcPr>
            <w:tcW w:w="810" w:type="dxa"/>
            <w:tcBorders>
              <w:top w:val="nil"/>
              <w:left w:val="single" w:sz="4" w:space="0" w:color="000000"/>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$1,794</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$40,430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$2,679</w:t>
            </w:r>
          </w:p>
        </w:tc>
        <w:tc>
          <w:tcPr>
            <w:tcW w:w="792"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$36,281</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$1,177</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$1,696</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$97</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$712</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$293</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$238</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$14</w:t>
            </w:r>
          </w:p>
        </w:tc>
        <w:tc>
          <w:tcPr>
            <w:tcW w:w="81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$766</w:t>
            </w:r>
          </w:p>
        </w:tc>
        <w:tc>
          <w:tcPr>
            <w:tcW w:w="648"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$55</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$82</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$30</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$80</w:t>
            </w:r>
          </w:p>
        </w:tc>
        <w:tc>
          <w:tcPr>
            <w:tcW w:w="810" w:type="dxa"/>
            <w:tcBorders>
              <w:top w:val="nil"/>
              <w:left w:val="nil"/>
              <w:bottom w:val="nil"/>
              <w:right w:val="single" w:sz="12" w:space="0" w:color="auto"/>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$162</w:t>
            </w:r>
          </w:p>
        </w:tc>
        <w:tc>
          <w:tcPr>
            <w:tcW w:w="810" w:type="dxa"/>
            <w:tcBorders>
              <w:top w:val="nil"/>
              <w:left w:val="nil"/>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$42,642</w:t>
            </w:r>
          </w:p>
        </w:tc>
        <w:tc>
          <w:tcPr>
            <w:tcW w:w="810" w:type="dxa"/>
            <w:tcBorders>
              <w:top w:val="nil"/>
              <w:left w:val="single" w:sz="4" w:space="0" w:color="000000"/>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$1,719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$44,361</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$2,325</w:t>
            </w:r>
          </w:p>
        </w:tc>
        <w:tc>
          <w:tcPr>
            <w:tcW w:w="792"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$43,975</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$473</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$1,610</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$141</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$691</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$299</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$145</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w:t>
            </w:r>
          </w:p>
        </w:tc>
        <w:tc>
          <w:tcPr>
            <w:tcW w:w="81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$748</w:t>
            </w:r>
          </w:p>
        </w:tc>
        <w:tc>
          <w:tcPr>
            <w:tcW w:w="648"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$39</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$50</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$27</w:t>
            </w:r>
          </w:p>
        </w:tc>
        <w:tc>
          <w:tcPr>
            <w:tcW w:w="720" w:type="dxa"/>
            <w:tcBorders>
              <w:top w:val="nil"/>
              <w:left w:val="nil"/>
              <w:bottom w:val="nil"/>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$73</w:t>
            </w:r>
          </w:p>
        </w:tc>
        <w:tc>
          <w:tcPr>
            <w:tcW w:w="810" w:type="dxa"/>
            <w:tcBorders>
              <w:top w:val="nil"/>
              <w:left w:val="nil"/>
              <w:bottom w:val="nil"/>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$137</w:t>
            </w:r>
          </w:p>
        </w:tc>
        <w:tc>
          <w:tcPr>
            <w:tcW w:w="810" w:type="dxa"/>
            <w:tcBorders>
              <w:top w:val="nil"/>
              <w:left w:val="nil"/>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$49,216</w:t>
            </w:r>
          </w:p>
        </w:tc>
        <w:tc>
          <w:tcPr>
            <w:tcW w:w="810" w:type="dxa"/>
            <w:tcBorders>
              <w:top w:val="nil"/>
              <w:left w:val="single" w:sz="4" w:space="0" w:color="000000"/>
              <w:bottom w:val="nil"/>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$1,522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$50,738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$3,706</w:t>
            </w:r>
          </w:p>
        </w:tc>
        <w:tc>
          <w:tcPr>
            <w:tcW w:w="792"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$33,498</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$948</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$1,858</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$113</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$762</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$285</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$247</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$41</w:t>
            </w:r>
          </w:p>
        </w:tc>
        <w:tc>
          <w:tcPr>
            <w:tcW w:w="81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$762</w:t>
            </w:r>
          </w:p>
        </w:tc>
        <w:tc>
          <w:tcPr>
            <w:tcW w:w="648"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$114</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$60</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$41</w:t>
            </w:r>
          </w:p>
        </w:tc>
        <w:tc>
          <w:tcPr>
            <w:tcW w:w="720" w:type="dxa"/>
            <w:tcBorders>
              <w:top w:val="nil"/>
              <w:left w:val="nil"/>
              <w:bottom w:val="nil"/>
              <w:right w:val="single" w:sz="4" w:space="0" w:color="000000"/>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$89</w:t>
            </w:r>
          </w:p>
        </w:tc>
        <w:tc>
          <w:tcPr>
            <w:tcW w:w="810" w:type="dxa"/>
            <w:tcBorders>
              <w:top w:val="nil"/>
              <w:left w:val="nil"/>
              <w:bottom w:val="nil"/>
              <w:right w:val="single" w:sz="12" w:space="0" w:color="auto"/>
            </w:tcBorders>
            <w:shd w:val="clear" w:color="auto" w:fill="auto"/>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$145</w:t>
            </w:r>
          </w:p>
        </w:tc>
        <w:tc>
          <w:tcPr>
            <w:tcW w:w="810" w:type="dxa"/>
            <w:tcBorders>
              <w:top w:val="nil"/>
              <w:left w:val="nil"/>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$40,885</w:t>
            </w:r>
          </w:p>
        </w:tc>
        <w:tc>
          <w:tcPr>
            <w:tcW w:w="810" w:type="dxa"/>
            <w:tcBorders>
              <w:top w:val="nil"/>
              <w:left w:val="single" w:sz="4" w:space="0" w:color="000000"/>
              <w:bottom w:val="nil"/>
              <w:right w:val="nil"/>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$1,784</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$42,669</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$2,685</w:t>
            </w:r>
          </w:p>
        </w:tc>
        <w:tc>
          <w:tcPr>
            <w:tcW w:w="792"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$34,339</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$953</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$1,118</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$136</w:t>
            </w:r>
          </w:p>
        </w:tc>
        <w:tc>
          <w:tcPr>
            <w:tcW w:w="720" w:type="dxa"/>
            <w:tcBorders>
              <w:top w:val="nil"/>
              <w:left w:val="nil"/>
              <w:bottom w:val="single" w:sz="12" w:space="0" w:color="auto"/>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$593</w:t>
            </w:r>
          </w:p>
        </w:tc>
        <w:tc>
          <w:tcPr>
            <w:tcW w:w="720" w:type="dxa"/>
            <w:tcBorders>
              <w:top w:val="nil"/>
              <w:left w:val="single" w:sz="12" w:space="0" w:color="auto"/>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$441</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$229</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$14</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$994</w:t>
            </w:r>
          </w:p>
        </w:tc>
        <w:tc>
          <w:tcPr>
            <w:tcW w:w="648"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$100</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$104</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$38</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$92</w:t>
            </w:r>
          </w:p>
        </w:tc>
        <w:tc>
          <w:tcPr>
            <w:tcW w:w="810" w:type="dxa"/>
            <w:tcBorders>
              <w:top w:val="nil"/>
              <w:left w:val="nil"/>
              <w:bottom w:val="single" w:sz="12" w:space="0" w:color="auto"/>
              <w:right w:val="single" w:sz="12" w:space="0" w:color="auto"/>
            </w:tcBorders>
            <w:shd w:val="clear" w:color="000000" w:fill="B7DEE8"/>
            <w:noWrap/>
            <w:vAlign w:val="center"/>
            <w:hideMark/>
          </w:tcPr>
          <w:p w:rsidR="00490031" w:rsidRPr="00794438" w:rsidRDefault="00490031" w:rsidP="00186CBB">
            <w:pPr>
              <w:spacing w:after="0"/>
              <w:jc w:val="right"/>
              <w:rPr>
                <w:rFonts w:ascii="Arial" w:hAnsi="Arial" w:cs="Arial"/>
                <w:color w:val="000000"/>
                <w:sz w:val="14"/>
                <w:szCs w:val="14"/>
              </w:rPr>
            </w:pPr>
            <w:r w:rsidRPr="00794438">
              <w:rPr>
                <w:rFonts w:ascii="Arial" w:hAnsi="Arial" w:cs="Arial"/>
                <w:color w:val="000000"/>
                <w:sz w:val="14"/>
                <w:szCs w:val="14"/>
              </w:rPr>
              <w:t>$159</w:t>
            </w:r>
          </w:p>
        </w:tc>
        <w:tc>
          <w:tcPr>
            <w:tcW w:w="810" w:type="dxa"/>
            <w:tcBorders>
              <w:top w:val="nil"/>
              <w:left w:val="nil"/>
              <w:bottom w:val="single" w:sz="12" w:space="0" w:color="auto"/>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$39,824</w:t>
            </w:r>
          </w:p>
        </w:tc>
        <w:tc>
          <w:tcPr>
            <w:tcW w:w="810" w:type="dxa"/>
            <w:tcBorders>
              <w:top w:val="nil"/>
              <w:left w:val="single" w:sz="4" w:space="0" w:color="000000"/>
              <w:bottom w:val="single" w:sz="12" w:space="0" w:color="auto"/>
              <w:right w:val="nil"/>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$2,171</w:t>
            </w:r>
          </w:p>
        </w:tc>
        <w:tc>
          <w:tcPr>
            <w:tcW w:w="810" w:type="dxa"/>
            <w:tcBorders>
              <w:top w:val="nil"/>
              <w:left w:val="single" w:sz="4" w:space="0" w:color="000000"/>
              <w:bottom w:val="single" w:sz="12" w:space="0" w:color="auto"/>
              <w:right w:val="single" w:sz="12" w:space="0" w:color="000000"/>
            </w:tcBorders>
            <w:shd w:val="clear" w:color="000000" w:fill="B7DEE8"/>
            <w:noWrap/>
            <w:vAlign w:val="center"/>
            <w:hideMark/>
          </w:tcPr>
          <w:p w:rsidR="00490031" w:rsidRPr="00794438" w:rsidRDefault="00490031" w:rsidP="00186CBB">
            <w:pPr>
              <w:spacing w:after="0"/>
              <w:jc w:val="right"/>
              <w:rPr>
                <w:rFonts w:ascii="Arial" w:hAnsi="Arial" w:cs="Arial"/>
                <w:b/>
                <w:bCs/>
                <w:color w:val="000000"/>
                <w:sz w:val="14"/>
                <w:szCs w:val="14"/>
              </w:rPr>
            </w:pPr>
            <w:r w:rsidRPr="00794438">
              <w:rPr>
                <w:rFonts w:ascii="Arial" w:hAnsi="Arial" w:cs="Arial"/>
                <w:b/>
                <w:bCs/>
                <w:color w:val="000000"/>
                <w:sz w:val="14"/>
                <w:szCs w:val="14"/>
              </w:rPr>
              <w:t>$41,995</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490031" w:rsidRPr="00715FAD" w:rsidRDefault="00490031" w:rsidP="00186CBB">
            <w:pPr>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Working-age</w:t>
            </w:r>
            <w:r w:rsidRPr="00880020">
              <w:rPr>
                <w:rFonts w:ascii="Arial" w:eastAsia="Times New Roman" w:hAnsi="Arial" w:cs="Arial"/>
                <w:b/>
                <w:bCs/>
                <w:color w:val="000000"/>
                <w:sz w:val="14"/>
                <w:szCs w:val="14"/>
              </w:rPr>
              <w:t xml:space="preserve"> people</w:t>
            </w:r>
            <w:r>
              <w:rPr>
                <w:rFonts w:ascii="Arial" w:eastAsia="Times New Roman" w:hAnsi="Arial" w:cs="Arial"/>
                <w:b/>
                <w:bCs/>
                <w:color w:val="000000"/>
                <w:sz w:val="14"/>
                <w:szCs w:val="14"/>
              </w:rPr>
              <w:t xml:space="preserve"> without disabilities and incomes above the LICO – Showing % of total income</w:t>
            </w:r>
          </w:p>
        </w:tc>
        <w:tc>
          <w:tcPr>
            <w:tcW w:w="720" w:type="dxa"/>
            <w:tcBorders>
              <w:top w:val="single" w:sz="12" w:space="0" w:color="auto"/>
              <w:left w:val="single" w:sz="12" w:space="0" w:color="auto"/>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3.1%</w:t>
            </w:r>
          </w:p>
        </w:tc>
        <w:tc>
          <w:tcPr>
            <w:tcW w:w="792"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79.7%</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3.8%</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0.7%</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0.2%</w:t>
            </w:r>
          </w:p>
        </w:tc>
        <w:tc>
          <w:tcPr>
            <w:tcW w:w="720" w:type="dxa"/>
            <w:tcBorders>
              <w:top w:val="single" w:sz="12" w:space="0" w:color="auto"/>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0.9%</w:t>
            </w:r>
          </w:p>
        </w:tc>
        <w:tc>
          <w:tcPr>
            <w:tcW w:w="720" w:type="dxa"/>
            <w:tcBorders>
              <w:top w:val="single" w:sz="12" w:space="0" w:color="auto"/>
              <w:left w:val="single" w:sz="12" w:space="0" w:color="auto"/>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0.9%</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1.2%</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7.7%</w:t>
            </w:r>
          </w:p>
        </w:tc>
        <w:tc>
          <w:tcPr>
            <w:tcW w:w="648"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0.5%</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single" w:sz="12" w:space="0" w:color="auto"/>
              <w:left w:val="nil"/>
              <w:bottom w:val="nil"/>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single" w:sz="12" w:space="0" w:color="auto"/>
              <w:left w:val="nil"/>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88.5%</w:t>
            </w:r>
          </w:p>
        </w:tc>
        <w:tc>
          <w:tcPr>
            <w:tcW w:w="810" w:type="dxa"/>
            <w:tcBorders>
              <w:top w:val="single" w:sz="12" w:space="0" w:color="auto"/>
              <w:left w:val="single" w:sz="4" w:space="0" w:color="000000"/>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11.5%</w:t>
            </w:r>
          </w:p>
        </w:tc>
        <w:tc>
          <w:tcPr>
            <w:tcW w:w="810" w:type="dxa"/>
            <w:tcBorders>
              <w:top w:val="single" w:sz="12" w:space="0" w:color="auto"/>
              <w:left w:val="single" w:sz="4" w:space="0" w:color="000000"/>
              <w:bottom w:val="nil"/>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4.1%</w:t>
            </w:r>
          </w:p>
        </w:tc>
        <w:tc>
          <w:tcPr>
            <w:tcW w:w="792"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79.4%</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3.2%</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2.6%</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1.1%</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1.2%</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0.7%</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6.3%</w:t>
            </w:r>
          </w:p>
        </w:tc>
        <w:tc>
          <w:tcPr>
            <w:tcW w:w="648"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single" w:sz="12" w:space="0" w:color="auto"/>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90.5%</w:t>
            </w:r>
          </w:p>
        </w:tc>
        <w:tc>
          <w:tcPr>
            <w:tcW w:w="810" w:type="dxa"/>
            <w:tcBorders>
              <w:top w:val="nil"/>
              <w:left w:val="single" w:sz="4" w:space="0" w:color="000000"/>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4.7%</w:t>
            </w:r>
          </w:p>
        </w:tc>
        <w:tc>
          <w:tcPr>
            <w:tcW w:w="792"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81.9%</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2.1%</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0.4%</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1.9%</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0.9%</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3.3%</w:t>
            </w:r>
          </w:p>
        </w:tc>
        <w:tc>
          <w:tcPr>
            <w:tcW w:w="648"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94.1%</w:t>
            </w:r>
          </w:p>
        </w:tc>
        <w:tc>
          <w:tcPr>
            <w:tcW w:w="810" w:type="dxa"/>
            <w:tcBorders>
              <w:top w:val="nil"/>
              <w:left w:val="single" w:sz="4" w:space="0" w:color="000000"/>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5.9%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2.7%</w:t>
            </w:r>
          </w:p>
        </w:tc>
        <w:tc>
          <w:tcPr>
            <w:tcW w:w="792"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82.7%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2.9%</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1.9%</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1.0%</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5.0%</w:t>
            </w:r>
          </w:p>
        </w:tc>
        <w:tc>
          <w:tcPr>
            <w:tcW w:w="648"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single" w:sz="12" w:space="0" w:color="auto"/>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92.1%</w:t>
            </w:r>
          </w:p>
        </w:tc>
        <w:tc>
          <w:tcPr>
            <w:tcW w:w="810" w:type="dxa"/>
            <w:tcBorders>
              <w:top w:val="nil"/>
              <w:left w:val="single" w:sz="4" w:space="0" w:color="000000"/>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7.9%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5.2%</w:t>
            </w:r>
          </w:p>
        </w:tc>
        <w:tc>
          <w:tcPr>
            <w:tcW w:w="792"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79.7%</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2.9%</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2.8%</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0.4%</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2.0%</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0.8%</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3.3%</w:t>
            </w:r>
          </w:p>
        </w:tc>
        <w:tc>
          <w:tcPr>
            <w:tcW w:w="648"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0.5%</w:t>
            </w:r>
          </w:p>
        </w:tc>
        <w:tc>
          <w:tcPr>
            <w:tcW w:w="810" w:type="dxa"/>
            <w:tcBorders>
              <w:top w:val="nil"/>
              <w:left w:val="nil"/>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92.3%</w:t>
            </w:r>
          </w:p>
        </w:tc>
        <w:tc>
          <w:tcPr>
            <w:tcW w:w="810" w:type="dxa"/>
            <w:tcBorders>
              <w:top w:val="nil"/>
              <w:left w:val="single" w:sz="4" w:space="0" w:color="000000"/>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7.7%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7.5%</w:t>
            </w:r>
          </w:p>
        </w:tc>
        <w:tc>
          <w:tcPr>
            <w:tcW w:w="792"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82.2%</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2.3%</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1.8%</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0.8%</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2.0%</w:t>
            </w:r>
          </w:p>
        </w:tc>
        <w:tc>
          <w:tcPr>
            <w:tcW w:w="648"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nil"/>
              <w:left w:val="nil"/>
              <w:bottom w:val="nil"/>
              <w:right w:val="single" w:sz="12" w:space="0" w:color="auto"/>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810" w:type="dxa"/>
            <w:tcBorders>
              <w:top w:val="nil"/>
              <w:left w:val="nil"/>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95.5%</w:t>
            </w:r>
          </w:p>
        </w:tc>
        <w:tc>
          <w:tcPr>
            <w:tcW w:w="810" w:type="dxa"/>
            <w:tcBorders>
              <w:top w:val="nil"/>
              <w:left w:val="single" w:sz="4" w:space="0" w:color="000000"/>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4.5%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5.7%</w:t>
            </w:r>
          </w:p>
        </w:tc>
        <w:tc>
          <w:tcPr>
            <w:tcW w:w="792"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84.2%</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1.6%</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2.8%</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1.0%</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1.7%</w:t>
            </w:r>
          </w:p>
        </w:tc>
        <w:tc>
          <w:tcPr>
            <w:tcW w:w="648"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nil"/>
              <w:left w:val="nil"/>
              <w:bottom w:val="nil"/>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0.6%</w:t>
            </w:r>
          </w:p>
        </w:tc>
        <w:tc>
          <w:tcPr>
            <w:tcW w:w="810" w:type="dxa"/>
            <w:tcBorders>
              <w:top w:val="nil"/>
              <w:left w:val="nil"/>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95.6%</w:t>
            </w:r>
          </w:p>
        </w:tc>
        <w:tc>
          <w:tcPr>
            <w:tcW w:w="810" w:type="dxa"/>
            <w:tcBorders>
              <w:top w:val="nil"/>
              <w:left w:val="single" w:sz="4" w:space="0" w:color="000000"/>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4.4%</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6.0%</w:t>
            </w:r>
          </w:p>
        </w:tc>
        <w:tc>
          <w:tcPr>
            <w:tcW w:w="792"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81.8%</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2.7%</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3.8%</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0.2%</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1.6%</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0.7%</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0.5%</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1.7%</w:t>
            </w:r>
          </w:p>
        </w:tc>
        <w:tc>
          <w:tcPr>
            <w:tcW w:w="648"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nil"/>
              <w:left w:val="nil"/>
              <w:bottom w:val="nil"/>
              <w:right w:val="single" w:sz="12" w:space="0" w:color="auto"/>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810" w:type="dxa"/>
            <w:tcBorders>
              <w:top w:val="nil"/>
              <w:left w:val="nil"/>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96.1%</w:t>
            </w:r>
          </w:p>
        </w:tc>
        <w:tc>
          <w:tcPr>
            <w:tcW w:w="810" w:type="dxa"/>
            <w:tcBorders>
              <w:top w:val="nil"/>
              <w:left w:val="single" w:sz="4" w:space="0" w:color="000000"/>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3.9%</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4.6%</w:t>
            </w:r>
          </w:p>
        </w:tc>
        <w:tc>
          <w:tcPr>
            <w:tcW w:w="792"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86.7%</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0.9%</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1.4%</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0.6%</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1.5%</w:t>
            </w:r>
          </w:p>
        </w:tc>
        <w:tc>
          <w:tcPr>
            <w:tcW w:w="648"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810" w:type="dxa"/>
            <w:tcBorders>
              <w:top w:val="nil"/>
              <w:left w:val="nil"/>
              <w:bottom w:val="nil"/>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97.0%</w:t>
            </w:r>
          </w:p>
        </w:tc>
        <w:tc>
          <w:tcPr>
            <w:tcW w:w="810" w:type="dxa"/>
            <w:tcBorders>
              <w:top w:val="nil"/>
              <w:left w:val="single" w:sz="4" w:space="0" w:color="000000"/>
              <w:bottom w:val="nil"/>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3.0%</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8.7%</w:t>
            </w:r>
          </w:p>
        </w:tc>
        <w:tc>
          <w:tcPr>
            <w:tcW w:w="792"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78.5%</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2.2%</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4.4%</w:t>
            </w:r>
          </w:p>
        </w:tc>
        <w:tc>
          <w:tcPr>
            <w:tcW w:w="810" w:type="dxa"/>
            <w:tcBorders>
              <w:top w:val="nil"/>
              <w:left w:val="nil"/>
              <w:bottom w:val="nil"/>
              <w:right w:val="single" w:sz="4" w:space="0" w:color="000000"/>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1.8%</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0.7%</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0.6%</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1.8%</w:t>
            </w:r>
          </w:p>
        </w:tc>
        <w:tc>
          <w:tcPr>
            <w:tcW w:w="648"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nil"/>
              <w:left w:val="nil"/>
              <w:bottom w:val="nil"/>
              <w:right w:val="single" w:sz="12" w:space="0" w:color="auto"/>
            </w:tcBorders>
            <w:shd w:val="clear" w:color="000000" w:fill="B7DEE8"/>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0.3%</w:t>
            </w:r>
          </w:p>
        </w:tc>
        <w:tc>
          <w:tcPr>
            <w:tcW w:w="810" w:type="dxa"/>
            <w:tcBorders>
              <w:top w:val="nil"/>
              <w:left w:val="nil"/>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95.8%</w:t>
            </w:r>
          </w:p>
        </w:tc>
        <w:tc>
          <w:tcPr>
            <w:tcW w:w="810" w:type="dxa"/>
            <w:tcBorders>
              <w:top w:val="nil"/>
              <w:left w:val="single" w:sz="4" w:space="0" w:color="000000"/>
              <w:bottom w:val="nil"/>
              <w:right w:val="nil"/>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4.2%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single" w:sz="12" w:space="0" w:color="000000"/>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6.4%</w:t>
            </w:r>
          </w:p>
        </w:tc>
        <w:tc>
          <w:tcPr>
            <w:tcW w:w="792"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81.8%</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2.3%</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2.7%</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0.3%</w:t>
            </w:r>
          </w:p>
        </w:tc>
        <w:tc>
          <w:tcPr>
            <w:tcW w:w="720" w:type="dxa"/>
            <w:tcBorders>
              <w:top w:val="nil"/>
              <w:left w:val="nil"/>
              <w:bottom w:val="single" w:sz="12" w:space="0" w:color="000000"/>
              <w:right w:val="nil"/>
            </w:tcBorders>
            <w:shd w:val="clear" w:color="auto" w:fill="auto"/>
            <w:noWrap/>
            <w:vAlign w:val="center"/>
            <w:hideMark/>
          </w:tcPr>
          <w:p w:rsidR="00490031" w:rsidRPr="00545BF3" w:rsidRDefault="00490031" w:rsidP="00186CBB">
            <w:pPr>
              <w:spacing w:after="0"/>
              <w:jc w:val="right"/>
              <w:rPr>
                <w:rFonts w:ascii="Arial" w:hAnsi="Arial" w:cs="Arial"/>
                <w:color w:val="000000"/>
                <w:sz w:val="14"/>
                <w:szCs w:val="14"/>
              </w:rPr>
            </w:pPr>
            <w:r w:rsidRPr="00545BF3">
              <w:rPr>
                <w:rFonts w:ascii="Arial" w:hAnsi="Arial" w:cs="Arial"/>
                <w:color w:val="000000"/>
                <w:sz w:val="14"/>
                <w:szCs w:val="14"/>
              </w:rPr>
              <w:t>1.4%</w:t>
            </w:r>
          </w:p>
        </w:tc>
        <w:tc>
          <w:tcPr>
            <w:tcW w:w="720" w:type="dxa"/>
            <w:tcBorders>
              <w:top w:val="nil"/>
              <w:left w:val="single" w:sz="12" w:space="0" w:color="auto"/>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1.0%</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0.5%</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0.0%</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2.4%</w:t>
            </w:r>
          </w:p>
        </w:tc>
        <w:tc>
          <w:tcPr>
            <w:tcW w:w="648"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0.1%</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0.2%</w:t>
            </w:r>
          </w:p>
        </w:tc>
        <w:tc>
          <w:tcPr>
            <w:tcW w:w="810" w:type="dxa"/>
            <w:tcBorders>
              <w:top w:val="nil"/>
              <w:left w:val="nil"/>
              <w:bottom w:val="single" w:sz="12" w:space="0" w:color="000000"/>
              <w:right w:val="single" w:sz="12" w:space="0" w:color="auto"/>
            </w:tcBorders>
            <w:shd w:val="clear" w:color="auto" w:fill="auto"/>
            <w:noWrap/>
            <w:vAlign w:val="center"/>
            <w:hideMark/>
          </w:tcPr>
          <w:p w:rsidR="00490031" w:rsidRPr="00731917" w:rsidRDefault="00490031" w:rsidP="00186CBB">
            <w:pPr>
              <w:spacing w:after="0"/>
              <w:jc w:val="right"/>
              <w:rPr>
                <w:rFonts w:ascii="Arial" w:hAnsi="Arial" w:cs="Arial"/>
                <w:color w:val="000000"/>
                <w:sz w:val="14"/>
                <w:szCs w:val="14"/>
              </w:rPr>
            </w:pPr>
            <w:r w:rsidRPr="00731917">
              <w:rPr>
                <w:rFonts w:ascii="Arial" w:hAnsi="Arial" w:cs="Arial"/>
                <w:color w:val="000000"/>
                <w:sz w:val="14"/>
                <w:szCs w:val="14"/>
              </w:rPr>
              <w:t>0.4%</w:t>
            </w:r>
          </w:p>
        </w:tc>
        <w:tc>
          <w:tcPr>
            <w:tcW w:w="810" w:type="dxa"/>
            <w:tcBorders>
              <w:top w:val="nil"/>
              <w:left w:val="nil"/>
              <w:bottom w:val="single" w:sz="12" w:space="0" w:color="000000"/>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94.8%</w:t>
            </w:r>
          </w:p>
        </w:tc>
        <w:tc>
          <w:tcPr>
            <w:tcW w:w="810" w:type="dxa"/>
            <w:tcBorders>
              <w:top w:val="nil"/>
              <w:left w:val="single" w:sz="4" w:space="0" w:color="000000"/>
              <w:bottom w:val="single" w:sz="12" w:space="0" w:color="000000"/>
              <w:right w:val="nil"/>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5.2%</w:t>
            </w:r>
          </w:p>
        </w:tc>
        <w:tc>
          <w:tcPr>
            <w:tcW w:w="810" w:type="dxa"/>
            <w:tcBorders>
              <w:top w:val="nil"/>
              <w:left w:val="single" w:sz="4" w:space="0" w:color="000000"/>
              <w:bottom w:val="single" w:sz="12" w:space="0" w:color="000000"/>
              <w:right w:val="single" w:sz="12" w:space="0" w:color="000000"/>
            </w:tcBorders>
            <w:shd w:val="clear" w:color="auto" w:fill="auto"/>
            <w:noWrap/>
            <w:vAlign w:val="center"/>
            <w:hideMark/>
          </w:tcPr>
          <w:p w:rsidR="00490031" w:rsidRPr="00731917" w:rsidRDefault="00490031" w:rsidP="00186CBB">
            <w:pPr>
              <w:spacing w:after="0"/>
              <w:jc w:val="right"/>
              <w:rPr>
                <w:rFonts w:ascii="Arial" w:hAnsi="Arial" w:cs="Arial"/>
                <w:b/>
                <w:bCs/>
                <w:color w:val="000000"/>
                <w:sz w:val="14"/>
                <w:szCs w:val="14"/>
              </w:rPr>
            </w:pPr>
            <w:r w:rsidRPr="00731917">
              <w:rPr>
                <w:rFonts w:ascii="Arial" w:hAnsi="Arial" w:cs="Arial"/>
                <w:b/>
                <w:bCs/>
                <w:color w:val="000000"/>
                <w:sz w:val="14"/>
                <w:szCs w:val="14"/>
              </w:rPr>
              <w:t>100.0%</w:t>
            </w:r>
          </w:p>
        </w:tc>
      </w:tr>
    </w:tbl>
    <w:p w:rsidR="00490031" w:rsidRDefault="00490031" w:rsidP="00CA61D2">
      <w:pPr>
        <w:spacing w:after="0"/>
      </w:pPr>
      <w:r>
        <w:br w:type="page"/>
      </w: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490031"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Table </w:t>
            </w:r>
            <w:r>
              <w:rPr>
                <w:rFonts w:ascii="Arial" w:eastAsia="Times New Roman" w:hAnsi="Arial" w:cs="Arial"/>
                <w:b/>
                <w:bCs/>
                <w:color w:val="000000"/>
                <w:sz w:val="14"/>
                <w:szCs w:val="14"/>
              </w:rPr>
              <w:t>A</w:t>
            </w:r>
            <w:r w:rsidRPr="00880020">
              <w:rPr>
                <w:rFonts w:ascii="Arial" w:eastAsia="Times New Roman" w:hAnsi="Arial" w:cs="Arial"/>
                <w:b/>
                <w:bCs/>
                <w:color w:val="000000"/>
                <w:sz w:val="14"/>
                <w:szCs w:val="14"/>
              </w:rPr>
              <w:t>1</w:t>
            </w:r>
            <w:r>
              <w:rPr>
                <w:rFonts w:ascii="Arial" w:eastAsia="Times New Roman" w:hAnsi="Arial" w:cs="Arial"/>
                <w:b/>
                <w:bCs/>
                <w:color w:val="000000"/>
                <w:sz w:val="14"/>
                <w:szCs w:val="14"/>
              </w:rPr>
              <w:t>d</w:t>
            </w:r>
            <w:r w:rsidRPr="00880020">
              <w:rPr>
                <w:rFonts w:ascii="Arial" w:eastAsia="Times New Roman" w:hAnsi="Arial" w:cs="Arial"/>
                <w:b/>
                <w:bCs/>
                <w:color w:val="000000"/>
                <w:sz w:val="14"/>
                <w:szCs w:val="14"/>
              </w:rPr>
              <w:t>. Market income and government transfer income of working</w:t>
            </w:r>
            <w:r>
              <w:rPr>
                <w:rFonts w:ascii="Arial" w:eastAsia="Times New Roman" w:hAnsi="Arial" w:cs="Arial"/>
                <w:b/>
                <w:bCs/>
                <w:color w:val="000000"/>
                <w:sz w:val="14"/>
                <w:szCs w:val="14"/>
              </w:rPr>
              <w:t>-age people (16-64 years) with and without disabilities, irrespective of low income status, by province</w:t>
            </w:r>
            <w:r w:rsidRPr="00880020">
              <w:rPr>
                <w:rFonts w:ascii="Arial" w:eastAsia="Times New Roman" w:hAnsi="Arial" w:cs="Arial"/>
                <w:b/>
                <w:bCs/>
                <w:color w:val="000000"/>
                <w:sz w:val="14"/>
                <w:szCs w:val="14"/>
              </w:rPr>
              <w:t xml:space="preserve"> (Source: SLID 2009 PUMF)</w:t>
            </w:r>
          </w:p>
        </w:tc>
      </w:tr>
      <w:tr w:rsidR="00490031"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490031"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490031" w:rsidRPr="00880020" w:rsidRDefault="00183B54" w:rsidP="00186CBB">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490031"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490031" w:rsidRPr="00880020" w:rsidRDefault="00490031" w:rsidP="00186CBB">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490031" w:rsidRPr="00880020" w:rsidTr="00186CBB">
        <w:trPr>
          <w:trHeight w:val="20"/>
        </w:trPr>
        <w:tc>
          <w:tcPr>
            <w:tcW w:w="5850" w:type="dxa"/>
            <w:gridSpan w:val="7"/>
            <w:tcBorders>
              <w:top w:val="single" w:sz="12" w:space="0" w:color="auto"/>
              <w:left w:val="single" w:sz="12" w:space="0" w:color="000000"/>
              <w:bottom w:val="single" w:sz="12" w:space="0" w:color="auto"/>
              <w:right w:val="single" w:sz="12" w:space="0" w:color="000000"/>
            </w:tcBorders>
            <w:shd w:val="clear" w:color="000000" w:fill="FFFFFF"/>
            <w:hideMark/>
          </w:tcPr>
          <w:p w:rsidR="00490031" w:rsidRPr="00715FAD"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All </w:t>
            </w:r>
            <w:r>
              <w:rPr>
                <w:rFonts w:ascii="Arial" w:eastAsia="Times New Roman" w:hAnsi="Arial" w:cs="Arial"/>
                <w:b/>
                <w:bCs/>
                <w:color w:val="000000"/>
                <w:sz w:val="14"/>
                <w:szCs w:val="14"/>
              </w:rPr>
              <w:t>working-age</w:t>
            </w:r>
            <w:r w:rsidRPr="00880020">
              <w:rPr>
                <w:rFonts w:ascii="Arial" w:eastAsia="Times New Roman" w:hAnsi="Arial" w:cs="Arial"/>
                <w:b/>
                <w:bCs/>
                <w:color w:val="000000"/>
                <w:sz w:val="14"/>
                <w:szCs w:val="14"/>
              </w:rPr>
              <w:t xml:space="preserve"> people</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auto"/>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single" w:sz="12" w:space="0" w:color="auto"/>
            </w:tcBorders>
            <w:shd w:val="clear" w:color="000000" w:fill="FFFFFF"/>
            <w:noWrap/>
            <w:vAlign w:val="bottom"/>
            <w:hideMark/>
          </w:tcPr>
          <w:p w:rsidR="00490031" w:rsidRPr="00880020"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$992</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$25,387</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$1,367</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$239</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$78</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$387</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$768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$2,535</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$427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$568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$120</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$28,450</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$5,007</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$33,458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$1,586</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$24,377</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$1,209</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$786</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$92</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$402</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$415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$564</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$2,216</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$121</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$111</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$28,453</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$4,035</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$32,488</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$1,446</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$26,424</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$1,270</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$739</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$122</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$782</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$48</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$1,187</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$118</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$103</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$30,784</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$2,952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$33,736</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$1,035</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$25,789</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$1,273</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$534</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$110</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$661</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$596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$1,646</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$120</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$104</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$29,402</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$3,367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$32,769</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$1,713</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$26,182</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$1,196</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$990</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$140</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$543</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$776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$1,211</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$283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$426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$130</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$189</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$30,764</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$3,555</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$34,319</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$2,687</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$29,311</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$1,018</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$722</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$162</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$601</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$453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$19</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$841</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$553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$120</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$161</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$34,501</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$2,823</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$37,324</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$2,332</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$29,408</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$886</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$958</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$114</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$468</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$472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$495</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$24</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$658</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$119</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$34,166</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$2,471</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$36,636</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$2,328</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$32,246</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$1,234</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$1,621</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$108</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$689</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$385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$709</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$160</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$366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$102</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$157</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$38,226</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$2,347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$40,573</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$2,024</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$39,092</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$614</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$1,493</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$151</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$614</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$265</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$719</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$210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$97</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$130</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$43,988</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$2,152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$46,139</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$3,158</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$27,846</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$1,025</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$1,669</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$123</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$792</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$349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$373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$52</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$720</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$338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$119</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$140</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$34,613</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$2,279</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$36,893</w:t>
            </w:r>
          </w:p>
        </w:tc>
      </w:tr>
      <w:tr w:rsidR="00490031"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$2,326</w:t>
            </w:r>
          </w:p>
        </w:tc>
        <w:tc>
          <w:tcPr>
            <w:tcW w:w="792"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$29,299</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$1,037</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$1,021</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$144</w:t>
            </w:r>
          </w:p>
        </w:tc>
        <w:tc>
          <w:tcPr>
            <w:tcW w:w="720" w:type="dxa"/>
            <w:tcBorders>
              <w:top w:val="nil"/>
              <w:left w:val="nil"/>
              <w:bottom w:val="single" w:sz="12" w:space="0" w:color="auto"/>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$615</w:t>
            </w:r>
          </w:p>
        </w:tc>
        <w:tc>
          <w:tcPr>
            <w:tcW w:w="720" w:type="dxa"/>
            <w:tcBorders>
              <w:top w:val="nil"/>
              <w:left w:val="single" w:sz="12" w:space="0" w:color="auto"/>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$500</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$407</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$29</w:t>
            </w:r>
          </w:p>
        </w:tc>
        <w:tc>
          <w:tcPr>
            <w:tcW w:w="81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$948</w:t>
            </w:r>
          </w:p>
        </w:tc>
        <w:tc>
          <w:tcPr>
            <w:tcW w:w="648"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$226</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$438</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w:t>
            </w:r>
          </w:p>
        </w:tc>
        <w:tc>
          <w:tcPr>
            <w:tcW w:w="720" w:type="dxa"/>
            <w:tcBorders>
              <w:top w:val="nil"/>
              <w:left w:val="nil"/>
              <w:bottom w:val="single" w:sz="12" w:space="0" w:color="auto"/>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$119</w:t>
            </w:r>
          </w:p>
        </w:tc>
        <w:tc>
          <w:tcPr>
            <w:tcW w:w="810" w:type="dxa"/>
            <w:tcBorders>
              <w:top w:val="nil"/>
              <w:left w:val="nil"/>
              <w:bottom w:val="single" w:sz="12" w:space="0" w:color="auto"/>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$159</w:t>
            </w:r>
          </w:p>
        </w:tc>
        <w:tc>
          <w:tcPr>
            <w:tcW w:w="810" w:type="dxa"/>
            <w:tcBorders>
              <w:top w:val="nil"/>
              <w:left w:val="nil"/>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$34,441</w:t>
            </w:r>
          </w:p>
        </w:tc>
        <w:tc>
          <w:tcPr>
            <w:tcW w:w="810" w:type="dxa"/>
            <w:tcBorders>
              <w:top w:val="nil"/>
              <w:left w:val="single" w:sz="4" w:space="0" w:color="000000"/>
              <w:bottom w:val="single" w:sz="12" w:space="0" w:color="auto"/>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$2,876</w:t>
            </w:r>
          </w:p>
        </w:tc>
        <w:tc>
          <w:tcPr>
            <w:tcW w:w="810" w:type="dxa"/>
            <w:tcBorders>
              <w:top w:val="nil"/>
              <w:left w:val="single" w:sz="4" w:space="0" w:color="000000"/>
              <w:bottom w:val="single" w:sz="12" w:space="0" w:color="auto"/>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$37,317</w:t>
            </w:r>
          </w:p>
        </w:tc>
      </w:tr>
      <w:tr w:rsidR="00490031"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490031" w:rsidRPr="00715FAD" w:rsidRDefault="00490031" w:rsidP="00186CBB">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All </w:t>
            </w:r>
            <w:r>
              <w:rPr>
                <w:rFonts w:ascii="Arial" w:eastAsia="Times New Roman" w:hAnsi="Arial" w:cs="Arial"/>
                <w:b/>
                <w:bCs/>
                <w:color w:val="000000"/>
                <w:sz w:val="14"/>
                <w:szCs w:val="14"/>
              </w:rPr>
              <w:t>working-age</w:t>
            </w:r>
            <w:r w:rsidRPr="00880020">
              <w:rPr>
                <w:rFonts w:ascii="Arial" w:eastAsia="Times New Roman" w:hAnsi="Arial" w:cs="Arial"/>
                <w:b/>
                <w:bCs/>
                <w:color w:val="000000"/>
                <w:sz w:val="14"/>
                <w:szCs w:val="14"/>
              </w:rPr>
              <w:t xml:space="preserve"> people</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auto"/>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490031" w:rsidRPr="00880020" w:rsidRDefault="00490031" w:rsidP="00186CBB">
            <w:pPr>
              <w:spacing w:after="0" w:line="240" w:lineRule="auto"/>
              <w:jc w:val="right"/>
              <w:rPr>
                <w:rFonts w:ascii="Arial" w:eastAsia="Times New Roman" w:hAnsi="Arial" w:cs="Arial"/>
                <w:b/>
                <w:bCs/>
                <w:color w:val="000000"/>
                <w:sz w:val="14"/>
                <w:szCs w:val="14"/>
              </w:rPr>
            </w:pPr>
          </w:p>
        </w:tc>
      </w:tr>
      <w:tr w:rsidR="00490031"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Newfoundland and Labrador</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3.0%</w:t>
            </w:r>
          </w:p>
        </w:tc>
        <w:tc>
          <w:tcPr>
            <w:tcW w:w="792"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75.9%</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4.1%</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0.7%</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0.2%</w:t>
            </w:r>
          </w:p>
        </w:tc>
        <w:tc>
          <w:tcPr>
            <w:tcW w:w="720" w:type="dxa"/>
            <w:tcBorders>
              <w:top w:val="single" w:sz="12" w:space="0" w:color="auto"/>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w:t>
            </w:r>
          </w:p>
        </w:tc>
        <w:tc>
          <w:tcPr>
            <w:tcW w:w="720" w:type="dxa"/>
            <w:tcBorders>
              <w:top w:val="single" w:sz="12" w:space="0" w:color="auto"/>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0.2%</w:t>
            </w:r>
          </w:p>
        </w:tc>
        <w:tc>
          <w:tcPr>
            <w:tcW w:w="81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7.6%</w:t>
            </w:r>
          </w:p>
        </w:tc>
        <w:tc>
          <w:tcPr>
            <w:tcW w:w="648"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single" w:sz="12" w:space="0" w:color="auto"/>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single" w:sz="12" w:space="0" w:color="auto"/>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single" w:sz="12" w:space="0" w:color="auto"/>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85.0%</w:t>
            </w:r>
          </w:p>
        </w:tc>
        <w:tc>
          <w:tcPr>
            <w:tcW w:w="810" w:type="dxa"/>
            <w:tcBorders>
              <w:top w:val="single" w:sz="12" w:space="0" w:color="auto"/>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15.0%</w:t>
            </w:r>
          </w:p>
        </w:tc>
        <w:tc>
          <w:tcPr>
            <w:tcW w:w="810" w:type="dxa"/>
            <w:tcBorders>
              <w:top w:val="single" w:sz="12" w:space="0" w:color="auto"/>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Prince Edward Island</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4.9%</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75.0%</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3.7%</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2.4%</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1.2%</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6.8%</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0.7%</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87.6%</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12.4%</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Nova Scotia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4.3%</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78.3%</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3.8%</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2.2%</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0.4%</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2.3%</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91.2%</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8.8%</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New Brunswick</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3.2%</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78.7%</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3.9%</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2.0%</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0.5%</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89.7%</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10.3%</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Quebec</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5.0%</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76.3%</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3.5%</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2.9%</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0.4%</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3.5%</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89.6%</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10.4%</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Ontario</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7.2%</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78.5%</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2.7%</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1.9%</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0.4%</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2.3%</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1.5%</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92.4%</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7.6%</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Manitoba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6.4%</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80.3%</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2.4%</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2.6%</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1.8%</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93.3%</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Saskatchewan</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5.7%</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79.5%</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3.0%</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4.0%</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1.7%</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1.7%</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94.2%</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5.8%</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Alberta</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4.4%</w:t>
            </w:r>
          </w:p>
        </w:tc>
        <w:tc>
          <w:tcPr>
            <w:tcW w:w="792"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84.7%</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1.3%</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0.8%</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1.6%</w:t>
            </w:r>
          </w:p>
        </w:tc>
        <w:tc>
          <w:tcPr>
            <w:tcW w:w="648"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0.7%</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0.2%</w:t>
            </w:r>
          </w:p>
        </w:tc>
        <w:tc>
          <w:tcPr>
            <w:tcW w:w="810" w:type="dxa"/>
            <w:tcBorders>
              <w:top w:val="nil"/>
              <w:left w:val="nil"/>
              <w:bottom w:val="nil"/>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95.3%</w:t>
            </w:r>
          </w:p>
        </w:tc>
        <w:tc>
          <w:tcPr>
            <w:tcW w:w="810" w:type="dxa"/>
            <w:tcBorders>
              <w:top w:val="nil"/>
              <w:left w:val="single" w:sz="4" w:space="0" w:color="000000"/>
              <w:bottom w:val="nil"/>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4.7%</w:t>
            </w:r>
          </w:p>
        </w:tc>
        <w:tc>
          <w:tcPr>
            <w:tcW w:w="810" w:type="dxa"/>
            <w:tcBorders>
              <w:top w:val="nil"/>
              <w:left w:val="single" w:sz="4" w:space="0" w:color="000000"/>
              <w:bottom w:val="nil"/>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nil"/>
              <w:right w:val="single" w:sz="12" w:space="0" w:color="000000"/>
            </w:tcBorders>
            <w:shd w:val="clear" w:color="000000" w:fill="B7DEE8"/>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British Columbia</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8.6%</w:t>
            </w:r>
          </w:p>
        </w:tc>
        <w:tc>
          <w:tcPr>
            <w:tcW w:w="792"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75.5%</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2.8%</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4.5%</w:t>
            </w:r>
          </w:p>
        </w:tc>
        <w:tc>
          <w:tcPr>
            <w:tcW w:w="810" w:type="dxa"/>
            <w:tcBorders>
              <w:top w:val="nil"/>
              <w:left w:val="nil"/>
              <w:bottom w:val="nil"/>
              <w:right w:val="single" w:sz="4" w:space="0" w:color="000000"/>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0.3%</w:t>
            </w:r>
          </w:p>
        </w:tc>
        <w:tc>
          <w:tcPr>
            <w:tcW w:w="720" w:type="dxa"/>
            <w:tcBorders>
              <w:top w:val="nil"/>
              <w:left w:val="nil"/>
              <w:bottom w:val="nil"/>
              <w:right w:val="nil"/>
            </w:tcBorders>
            <w:shd w:val="clear" w:color="000000" w:fill="B7DEE8"/>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2.1%</w:t>
            </w:r>
          </w:p>
        </w:tc>
        <w:tc>
          <w:tcPr>
            <w:tcW w:w="720" w:type="dxa"/>
            <w:tcBorders>
              <w:top w:val="nil"/>
              <w:left w:val="single" w:sz="12" w:space="0" w:color="auto"/>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1.0%</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2.0%</w:t>
            </w:r>
          </w:p>
        </w:tc>
        <w:tc>
          <w:tcPr>
            <w:tcW w:w="648"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0.9%</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nil"/>
              <w:right w:val="single" w:sz="4"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nil"/>
              <w:right w:val="single" w:sz="12" w:space="0" w:color="auto"/>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93.8%</w:t>
            </w:r>
          </w:p>
        </w:tc>
        <w:tc>
          <w:tcPr>
            <w:tcW w:w="810" w:type="dxa"/>
            <w:tcBorders>
              <w:top w:val="nil"/>
              <w:left w:val="single" w:sz="4" w:space="0" w:color="000000"/>
              <w:bottom w:val="nil"/>
              <w:right w:val="nil"/>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6.2%</w:t>
            </w:r>
          </w:p>
        </w:tc>
        <w:tc>
          <w:tcPr>
            <w:tcW w:w="810" w:type="dxa"/>
            <w:tcBorders>
              <w:top w:val="nil"/>
              <w:left w:val="single" w:sz="4" w:space="0" w:color="000000"/>
              <w:bottom w:val="nil"/>
              <w:right w:val="single" w:sz="12" w:space="0" w:color="000000"/>
            </w:tcBorders>
            <w:shd w:val="clear" w:color="000000" w:fill="B7DEE8"/>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r w:rsidR="00490031" w:rsidRPr="00880020" w:rsidTr="00186CBB">
        <w:trPr>
          <w:trHeight w:val="20"/>
        </w:trPr>
        <w:tc>
          <w:tcPr>
            <w:tcW w:w="1188" w:type="dxa"/>
            <w:tcBorders>
              <w:top w:val="nil"/>
              <w:left w:val="single" w:sz="12" w:space="0" w:color="000000"/>
              <w:bottom w:val="single" w:sz="12" w:space="0" w:color="000000"/>
              <w:right w:val="single" w:sz="12" w:space="0" w:color="000000"/>
            </w:tcBorders>
            <w:shd w:val="clear" w:color="auto" w:fill="auto"/>
            <w:hideMark/>
          </w:tcPr>
          <w:p w:rsidR="00490031" w:rsidRPr="00880020" w:rsidRDefault="00490031" w:rsidP="00186CBB">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Canada (excl. territories)</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6.2%</w:t>
            </w:r>
          </w:p>
        </w:tc>
        <w:tc>
          <w:tcPr>
            <w:tcW w:w="792"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78.5%</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2.8%</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2.7%</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0.4%</w:t>
            </w:r>
          </w:p>
        </w:tc>
        <w:tc>
          <w:tcPr>
            <w:tcW w:w="720" w:type="dxa"/>
            <w:tcBorders>
              <w:top w:val="nil"/>
              <w:left w:val="nil"/>
              <w:bottom w:val="single" w:sz="12" w:space="0" w:color="000000"/>
              <w:right w:val="nil"/>
            </w:tcBorders>
            <w:shd w:val="clear" w:color="auto" w:fill="auto"/>
            <w:noWrap/>
            <w:vAlign w:val="center"/>
            <w:hideMark/>
          </w:tcPr>
          <w:p w:rsidR="00490031" w:rsidRPr="00CC0C8C" w:rsidRDefault="00490031" w:rsidP="00186CBB">
            <w:pPr>
              <w:spacing w:after="0"/>
              <w:jc w:val="right"/>
              <w:rPr>
                <w:rFonts w:ascii="Arial" w:hAnsi="Arial" w:cs="Arial"/>
                <w:color w:val="000000"/>
                <w:sz w:val="14"/>
                <w:szCs w:val="14"/>
              </w:rPr>
            </w:pPr>
            <w:r w:rsidRPr="00CC0C8C">
              <w:rPr>
                <w:rFonts w:ascii="Arial" w:hAnsi="Arial" w:cs="Arial"/>
                <w:color w:val="000000"/>
                <w:sz w:val="14"/>
                <w:szCs w:val="14"/>
              </w:rPr>
              <w:t>1.6%</w:t>
            </w:r>
          </w:p>
        </w:tc>
        <w:tc>
          <w:tcPr>
            <w:tcW w:w="720" w:type="dxa"/>
            <w:tcBorders>
              <w:top w:val="nil"/>
              <w:left w:val="single" w:sz="12" w:space="0" w:color="auto"/>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1.3%</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1.1%</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81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2.5%</w:t>
            </w:r>
          </w:p>
        </w:tc>
        <w:tc>
          <w:tcPr>
            <w:tcW w:w="648"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0.6%</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1.2%</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0.1%</w:t>
            </w:r>
          </w:p>
        </w:tc>
        <w:tc>
          <w:tcPr>
            <w:tcW w:w="720" w:type="dxa"/>
            <w:tcBorders>
              <w:top w:val="nil"/>
              <w:left w:val="nil"/>
              <w:bottom w:val="single" w:sz="12" w:space="0" w:color="000000"/>
              <w:right w:val="single" w:sz="4"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0.3%</w:t>
            </w:r>
          </w:p>
        </w:tc>
        <w:tc>
          <w:tcPr>
            <w:tcW w:w="810" w:type="dxa"/>
            <w:tcBorders>
              <w:top w:val="nil"/>
              <w:left w:val="nil"/>
              <w:bottom w:val="single" w:sz="12" w:space="0" w:color="000000"/>
              <w:right w:val="single" w:sz="12" w:space="0" w:color="auto"/>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color w:val="000000"/>
                <w:sz w:val="14"/>
                <w:szCs w:val="14"/>
              </w:rPr>
            </w:pPr>
            <w:r w:rsidRPr="00880020">
              <w:rPr>
                <w:rFonts w:ascii="Arial" w:eastAsia="Times New Roman" w:hAnsi="Arial" w:cs="Arial"/>
                <w:color w:val="000000"/>
                <w:sz w:val="14"/>
                <w:szCs w:val="14"/>
              </w:rPr>
              <w:t>0.4%</w:t>
            </w:r>
          </w:p>
        </w:tc>
        <w:tc>
          <w:tcPr>
            <w:tcW w:w="810" w:type="dxa"/>
            <w:tcBorders>
              <w:top w:val="nil"/>
              <w:left w:val="nil"/>
              <w:bottom w:val="single" w:sz="12" w:space="0" w:color="000000"/>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92.3%</w:t>
            </w:r>
          </w:p>
        </w:tc>
        <w:tc>
          <w:tcPr>
            <w:tcW w:w="810" w:type="dxa"/>
            <w:tcBorders>
              <w:top w:val="nil"/>
              <w:left w:val="single" w:sz="4" w:space="0" w:color="000000"/>
              <w:bottom w:val="single" w:sz="12" w:space="0" w:color="000000"/>
              <w:right w:val="nil"/>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7.7%</w:t>
            </w:r>
          </w:p>
        </w:tc>
        <w:tc>
          <w:tcPr>
            <w:tcW w:w="810" w:type="dxa"/>
            <w:tcBorders>
              <w:top w:val="nil"/>
              <w:left w:val="single" w:sz="4" w:space="0" w:color="000000"/>
              <w:bottom w:val="single" w:sz="12" w:space="0" w:color="000000"/>
              <w:right w:val="single" w:sz="12" w:space="0" w:color="000000"/>
            </w:tcBorders>
            <w:shd w:val="clear" w:color="auto" w:fill="auto"/>
            <w:noWrap/>
            <w:vAlign w:val="center"/>
            <w:hideMark/>
          </w:tcPr>
          <w:p w:rsidR="00490031" w:rsidRPr="00880020" w:rsidRDefault="00490031" w:rsidP="00186CBB">
            <w:pPr>
              <w:spacing w:after="0" w:line="240" w:lineRule="auto"/>
              <w:jc w:val="right"/>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100.0%</w:t>
            </w:r>
          </w:p>
        </w:tc>
      </w:tr>
    </w:tbl>
    <w:p w:rsidR="00490031" w:rsidRDefault="00490031" w:rsidP="00490031">
      <w:pPr>
        <w:rPr>
          <w:rFonts w:ascii="Arial" w:hAnsi="Arial" w:cs="Arial"/>
          <w:sz w:val="14"/>
          <w:szCs w:val="14"/>
        </w:rPr>
      </w:pPr>
      <w:r>
        <w:rPr>
          <w:rFonts w:ascii="Arial" w:hAnsi="Arial" w:cs="Arial"/>
          <w:sz w:val="14"/>
          <w:szCs w:val="14"/>
        </w:rPr>
        <w:t>*F – Sample size too small for data to be reliable.</w:t>
      </w:r>
    </w:p>
    <w:p w:rsidR="00010370" w:rsidRPr="00880020" w:rsidRDefault="00993279" w:rsidP="00010370">
      <w:pPr>
        <w:spacing w:after="0"/>
        <w:rPr>
          <w:rFonts w:ascii="Arial" w:hAnsi="Arial" w:cs="Arial"/>
          <w:sz w:val="14"/>
          <w:szCs w:val="14"/>
        </w:rPr>
      </w:pPr>
      <w:r>
        <w:rPr>
          <w:rFonts w:ascii="Arial" w:hAnsi="Arial" w:cs="Arial"/>
          <w:sz w:val="14"/>
          <w:szCs w:val="14"/>
        </w:rPr>
        <w:br w:type="page"/>
      </w: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010370" w:rsidRPr="00880020" w:rsidTr="00010370">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010370" w:rsidRPr="00880020" w:rsidRDefault="00010370" w:rsidP="00F57448">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Table </w:t>
            </w:r>
            <w:r>
              <w:rPr>
                <w:rFonts w:ascii="Arial" w:eastAsia="Times New Roman" w:hAnsi="Arial" w:cs="Arial"/>
                <w:b/>
                <w:bCs/>
                <w:color w:val="000000"/>
                <w:sz w:val="14"/>
                <w:szCs w:val="14"/>
              </w:rPr>
              <w:t>A2a</w:t>
            </w:r>
            <w:r w:rsidRPr="00880020">
              <w:rPr>
                <w:rFonts w:ascii="Arial" w:eastAsia="Times New Roman" w:hAnsi="Arial" w:cs="Arial"/>
                <w:b/>
                <w:bCs/>
                <w:color w:val="000000"/>
                <w:sz w:val="14"/>
                <w:szCs w:val="14"/>
              </w:rPr>
              <w:t>. Market income and government transfer income of low-income, working</w:t>
            </w:r>
            <w:r>
              <w:rPr>
                <w:rFonts w:ascii="Arial" w:eastAsia="Times New Roman" w:hAnsi="Arial" w:cs="Arial"/>
                <w:b/>
                <w:bCs/>
                <w:color w:val="000000"/>
                <w:sz w:val="14"/>
                <w:szCs w:val="14"/>
              </w:rPr>
              <w:t xml:space="preserve">-age people (16-64 years) with disabilities, by living arrangements </w:t>
            </w:r>
            <w:r w:rsidRPr="00880020">
              <w:rPr>
                <w:rFonts w:ascii="Arial" w:eastAsia="Times New Roman" w:hAnsi="Arial" w:cs="Arial"/>
                <w:b/>
                <w:bCs/>
                <w:color w:val="000000"/>
                <w:sz w:val="14"/>
                <w:szCs w:val="14"/>
              </w:rPr>
              <w:t>(Source: SLID 2009 PUMF)</w:t>
            </w:r>
          </w:p>
        </w:tc>
      </w:tr>
      <w:tr w:rsidR="00010370" w:rsidRPr="00880020" w:rsidTr="00010370">
        <w:trPr>
          <w:trHeight w:val="20"/>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010370" w:rsidRPr="00880020" w:rsidRDefault="00010370"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010370" w:rsidRPr="00880020" w:rsidTr="00010370">
        <w:trPr>
          <w:trHeight w:val="20"/>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010370" w:rsidRPr="00880020" w:rsidRDefault="00010370" w:rsidP="00F57448">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010370" w:rsidRPr="00880020" w:rsidRDefault="00183B54" w:rsidP="00F57448">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010370"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010370" w:rsidRPr="00880020" w:rsidTr="00010370">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010370" w:rsidRPr="00CB3451" w:rsidRDefault="00010370" w:rsidP="00F57448">
            <w:pPr>
              <w:spacing w:after="0" w:line="240" w:lineRule="auto"/>
              <w:jc w:val="both"/>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Low income working-age people with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010370" w:rsidRPr="00880020" w:rsidRDefault="00010370"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010370" w:rsidRPr="008F3C4C" w:rsidTr="00010370">
        <w:trPr>
          <w:trHeight w:val="20"/>
        </w:trPr>
        <w:tc>
          <w:tcPr>
            <w:tcW w:w="1188" w:type="dxa"/>
            <w:tcBorders>
              <w:top w:val="single" w:sz="12" w:space="0" w:color="auto"/>
              <w:left w:val="single" w:sz="12" w:space="0" w:color="000000"/>
              <w:bottom w:val="nil"/>
              <w:right w:val="single" w:sz="12" w:space="0" w:color="000000"/>
            </w:tcBorders>
            <w:shd w:val="clear" w:color="000000" w:fill="B7DE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$47</w:t>
            </w:r>
          </w:p>
        </w:tc>
        <w:tc>
          <w:tcPr>
            <w:tcW w:w="792"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$1,400</w:t>
            </w:r>
          </w:p>
        </w:tc>
        <w:tc>
          <w:tcPr>
            <w:tcW w:w="81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$113</w:t>
            </w:r>
          </w:p>
        </w:tc>
        <w:tc>
          <w:tcPr>
            <w:tcW w:w="81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$336</w:t>
            </w:r>
          </w:p>
        </w:tc>
        <w:tc>
          <w:tcPr>
            <w:tcW w:w="81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$61</w:t>
            </w:r>
          </w:p>
        </w:tc>
        <w:tc>
          <w:tcPr>
            <w:tcW w:w="720" w:type="dxa"/>
            <w:tcBorders>
              <w:top w:val="single" w:sz="12" w:space="0" w:color="auto"/>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$447</w:t>
            </w:r>
          </w:p>
        </w:tc>
        <w:tc>
          <w:tcPr>
            <w:tcW w:w="720" w:type="dxa"/>
            <w:tcBorders>
              <w:top w:val="single" w:sz="12" w:space="0" w:color="auto"/>
              <w:left w:val="single" w:sz="12" w:space="0" w:color="000000"/>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w:t>
            </w:r>
          </w:p>
        </w:tc>
        <w:tc>
          <w:tcPr>
            <w:tcW w:w="72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$1,483</w:t>
            </w:r>
          </w:p>
        </w:tc>
        <w:tc>
          <w:tcPr>
            <w:tcW w:w="72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$56</w:t>
            </w:r>
          </w:p>
        </w:tc>
        <w:tc>
          <w:tcPr>
            <w:tcW w:w="81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$401</w:t>
            </w:r>
          </w:p>
        </w:tc>
        <w:tc>
          <w:tcPr>
            <w:tcW w:w="648"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$192</w:t>
            </w:r>
          </w:p>
        </w:tc>
        <w:tc>
          <w:tcPr>
            <w:tcW w:w="72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$4,656</w:t>
            </w:r>
          </w:p>
        </w:tc>
        <w:tc>
          <w:tcPr>
            <w:tcW w:w="720" w:type="dxa"/>
            <w:tcBorders>
              <w:top w:val="single" w:sz="12" w:space="0" w:color="auto"/>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$70</w:t>
            </w:r>
          </w:p>
        </w:tc>
        <w:tc>
          <w:tcPr>
            <w:tcW w:w="720" w:type="dxa"/>
            <w:tcBorders>
              <w:top w:val="single" w:sz="12" w:space="0" w:color="auto"/>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$288</w:t>
            </w:r>
          </w:p>
        </w:tc>
        <w:tc>
          <w:tcPr>
            <w:tcW w:w="810" w:type="dxa"/>
            <w:tcBorders>
              <w:top w:val="single" w:sz="12" w:space="0" w:color="auto"/>
              <w:left w:val="single" w:sz="4" w:space="0" w:color="000000"/>
              <w:bottom w:val="nil"/>
              <w:right w:val="single" w:sz="12"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$182</w:t>
            </w:r>
          </w:p>
        </w:tc>
        <w:tc>
          <w:tcPr>
            <w:tcW w:w="810" w:type="dxa"/>
            <w:tcBorders>
              <w:top w:val="single" w:sz="12" w:space="0" w:color="auto"/>
              <w:left w:val="nil"/>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$2,404</w:t>
            </w:r>
          </w:p>
        </w:tc>
        <w:tc>
          <w:tcPr>
            <w:tcW w:w="810" w:type="dxa"/>
            <w:tcBorders>
              <w:top w:val="single" w:sz="12" w:space="0" w:color="auto"/>
              <w:left w:val="single" w:sz="4" w:space="0" w:color="000000"/>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$7,330</w:t>
            </w:r>
          </w:p>
        </w:tc>
        <w:tc>
          <w:tcPr>
            <w:tcW w:w="810" w:type="dxa"/>
            <w:tcBorders>
              <w:top w:val="single" w:sz="12" w:space="0" w:color="auto"/>
              <w:left w:val="single" w:sz="4" w:space="0" w:color="000000"/>
              <w:bottom w:val="nil"/>
              <w:right w:val="single" w:sz="12" w:space="0" w:color="000000"/>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$9,734</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FF0000"/>
                <w:sz w:val="14"/>
                <w:szCs w:val="14"/>
              </w:rPr>
              <w:t>($2)</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$9,699</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$835</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$114</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$291</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$749</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$186</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$407</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$45</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$3,375</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$127</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$281</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$81</w:t>
            </w:r>
          </w:p>
        </w:tc>
        <w:tc>
          <w:tcPr>
            <w:tcW w:w="810" w:type="dxa"/>
            <w:tcBorders>
              <w:top w:val="nil"/>
              <w:left w:val="nil"/>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$10,938</w:t>
            </w:r>
          </w:p>
        </w:tc>
        <w:tc>
          <w:tcPr>
            <w:tcW w:w="810" w:type="dxa"/>
            <w:tcBorders>
              <w:top w:val="nil"/>
              <w:left w:val="single" w:sz="4" w:space="0" w:color="000000"/>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$5,264</w:t>
            </w:r>
          </w:p>
        </w:tc>
        <w:tc>
          <w:tcPr>
            <w:tcW w:w="810" w:type="dxa"/>
            <w:tcBorders>
              <w:top w:val="nil"/>
              <w:left w:val="single" w:sz="4" w:space="0" w:color="000000"/>
              <w:bottom w:val="nil"/>
              <w:right w:val="single" w:sz="12" w:space="0" w:color="000000"/>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$16,201</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000000" w:fill="B7DE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FF0000"/>
                <w:sz w:val="14"/>
                <w:szCs w:val="14"/>
              </w:rPr>
              <w:t>($125)</w:t>
            </w:r>
          </w:p>
        </w:tc>
        <w:tc>
          <w:tcPr>
            <w:tcW w:w="792"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$2,060</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$99</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$126</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$299</w:t>
            </w:r>
          </w:p>
        </w:tc>
        <w:tc>
          <w:tcPr>
            <w:tcW w:w="720" w:type="dxa"/>
            <w:tcBorders>
              <w:top w:val="nil"/>
              <w:left w:val="single" w:sz="12" w:space="0" w:color="000000"/>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$1,018</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$235</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$82</w:t>
            </w:r>
          </w:p>
        </w:tc>
        <w:tc>
          <w:tcPr>
            <w:tcW w:w="648"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$381</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$1,617</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$164</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$222</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$115</w:t>
            </w:r>
          </w:p>
        </w:tc>
        <w:tc>
          <w:tcPr>
            <w:tcW w:w="810" w:type="dxa"/>
            <w:tcBorders>
              <w:top w:val="nil"/>
              <w:left w:val="nil"/>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$2,466</w:t>
            </w:r>
          </w:p>
        </w:tc>
        <w:tc>
          <w:tcPr>
            <w:tcW w:w="810" w:type="dxa"/>
            <w:tcBorders>
              <w:top w:val="nil"/>
              <w:left w:val="single" w:sz="4" w:space="0" w:color="000000"/>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$3,834</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$6,300</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$626</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$3,208</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$366</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$54</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$177</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$3,670</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$186</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$756</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$103</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$1,900</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$136</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$377</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$472</w:t>
            </w:r>
          </w:p>
        </w:tc>
        <w:tc>
          <w:tcPr>
            <w:tcW w:w="810" w:type="dxa"/>
            <w:tcBorders>
              <w:top w:val="nil"/>
              <w:left w:val="nil"/>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$4,431</w:t>
            </w:r>
          </w:p>
        </w:tc>
        <w:tc>
          <w:tcPr>
            <w:tcW w:w="810" w:type="dxa"/>
            <w:tcBorders>
              <w:top w:val="nil"/>
              <w:left w:val="single" w:sz="4" w:space="0" w:color="000000"/>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$7,599</w:t>
            </w:r>
          </w:p>
        </w:tc>
        <w:tc>
          <w:tcPr>
            <w:tcW w:w="810" w:type="dxa"/>
            <w:tcBorders>
              <w:top w:val="nil"/>
              <w:left w:val="single" w:sz="4" w:space="0" w:color="000000"/>
              <w:bottom w:val="nil"/>
              <w:right w:val="single" w:sz="12" w:space="0" w:color="000000"/>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$12,030</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000000" w:fill="B7DE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$164</w:t>
            </w:r>
          </w:p>
        </w:tc>
        <w:tc>
          <w:tcPr>
            <w:tcW w:w="792"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$1,252</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$45</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$742</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single" w:sz="12" w:space="0" w:color="000000"/>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$3,785</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$224</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$584</w:t>
            </w:r>
          </w:p>
        </w:tc>
        <w:tc>
          <w:tcPr>
            <w:tcW w:w="648"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$5,214</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$515</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$561</w:t>
            </w:r>
          </w:p>
        </w:tc>
        <w:tc>
          <w:tcPr>
            <w:tcW w:w="810" w:type="dxa"/>
            <w:tcBorders>
              <w:top w:val="nil"/>
              <w:left w:val="nil"/>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$2,238</w:t>
            </w:r>
          </w:p>
        </w:tc>
        <w:tc>
          <w:tcPr>
            <w:tcW w:w="810" w:type="dxa"/>
            <w:tcBorders>
              <w:top w:val="nil"/>
              <w:left w:val="single" w:sz="4" w:space="0" w:color="000000"/>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$10,924</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$13,162</w:t>
            </w:r>
          </w:p>
        </w:tc>
      </w:tr>
      <w:tr w:rsidR="00151746" w:rsidRPr="008F3C4C"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151746" w:rsidRPr="00982127" w:rsidRDefault="00151746" w:rsidP="00F57448">
            <w:pPr>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000000" w:fill="B7DE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 xml:space="preserve">Other </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$1,737</w:t>
            </w:r>
          </w:p>
        </w:tc>
        <w:tc>
          <w:tcPr>
            <w:tcW w:w="792"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$1,295</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$31</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$386</w:t>
            </w:r>
          </w:p>
        </w:tc>
        <w:tc>
          <w:tcPr>
            <w:tcW w:w="720" w:type="dxa"/>
            <w:tcBorders>
              <w:top w:val="nil"/>
              <w:left w:val="single" w:sz="12" w:space="0" w:color="000000"/>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$898</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$157</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$77</w:t>
            </w:r>
          </w:p>
        </w:tc>
        <w:tc>
          <w:tcPr>
            <w:tcW w:w="648"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$3,225</w:t>
            </w:r>
          </w:p>
        </w:tc>
        <w:tc>
          <w:tcPr>
            <w:tcW w:w="720" w:type="dxa"/>
            <w:tcBorders>
              <w:top w:val="nil"/>
              <w:left w:val="nil"/>
              <w:bottom w:val="nil"/>
              <w:right w:val="single" w:sz="4"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$163</w:t>
            </w:r>
          </w:p>
        </w:tc>
        <w:tc>
          <w:tcPr>
            <w:tcW w:w="720" w:type="dxa"/>
            <w:tcBorders>
              <w:top w:val="nil"/>
              <w:left w:val="nil"/>
              <w:bottom w:val="nil"/>
              <w:right w:val="nil"/>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$273</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$160</w:t>
            </w:r>
          </w:p>
        </w:tc>
        <w:tc>
          <w:tcPr>
            <w:tcW w:w="810" w:type="dxa"/>
            <w:tcBorders>
              <w:top w:val="nil"/>
              <w:left w:val="nil"/>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$3,459</w:t>
            </w:r>
          </w:p>
        </w:tc>
        <w:tc>
          <w:tcPr>
            <w:tcW w:w="810" w:type="dxa"/>
            <w:tcBorders>
              <w:top w:val="nil"/>
              <w:left w:val="single" w:sz="4" w:space="0" w:color="000000"/>
              <w:bottom w:val="nil"/>
              <w:right w:val="nil"/>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$4,954</w:t>
            </w:r>
          </w:p>
        </w:tc>
        <w:tc>
          <w:tcPr>
            <w:tcW w:w="810" w:type="dxa"/>
            <w:tcBorders>
              <w:top w:val="nil"/>
              <w:left w:val="single" w:sz="4" w:space="0" w:color="000000"/>
              <w:bottom w:val="nil"/>
              <w:right w:val="single" w:sz="12" w:space="0" w:color="000000"/>
            </w:tcBorders>
            <w:shd w:val="clear" w:color="000000" w:fill="B7DEE8"/>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$8,412</w:t>
            </w:r>
          </w:p>
        </w:tc>
      </w:tr>
      <w:tr w:rsidR="00010370" w:rsidRPr="008F3C4C"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$257</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$2,450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$139</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$227</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$105</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$416</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$927</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$915</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$74</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$378</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$154</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$3,647</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$103</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$311</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$231</w:t>
            </w:r>
          </w:p>
        </w:tc>
        <w:tc>
          <w:tcPr>
            <w:tcW w:w="810" w:type="dxa"/>
            <w:tcBorders>
              <w:top w:val="nil"/>
              <w:left w:val="nil"/>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$3,594</w:t>
            </w:r>
          </w:p>
        </w:tc>
        <w:tc>
          <w:tcPr>
            <w:tcW w:w="810" w:type="dxa"/>
            <w:tcBorders>
              <w:top w:val="nil"/>
              <w:left w:val="single" w:sz="4" w:space="0" w:color="000000"/>
              <w:bottom w:val="nil"/>
              <w:right w:val="nil"/>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$6,741</w:t>
            </w:r>
          </w:p>
        </w:tc>
        <w:tc>
          <w:tcPr>
            <w:tcW w:w="810" w:type="dxa"/>
            <w:tcBorders>
              <w:top w:val="nil"/>
              <w:left w:val="single" w:sz="4" w:space="0" w:color="000000"/>
              <w:bottom w:val="nil"/>
              <w:right w:val="single" w:sz="12" w:space="0" w:color="000000"/>
            </w:tcBorders>
            <w:shd w:val="clear" w:color="auto" w:fill="auto"/>
            <w:noWrap/>
            <w:vAlign w:val="center"/>
          </w:tcPr>
          <w:p w:rsidR="00010370" w:rsidRPr="008F3C4C" w:rsidRDefault="00010370" w:rsidP="00F57448">
            <w:pPr>
              <w:spacing w:after="0" w:line="240" w:lineRule="auto"/>
              <w:jc w:val="right"/>
              <w:rPr>
                <w:rFonts w:ascii="Arial" w:hAnsi="Arial" w:cs="Arial"/>
                <w:b/>
                <w:bCs/>
                <w:color w:val="000000"/>
                <w:sz w:val="14"/>
                <w:szCs w:val="14"/>
              </w:rPr>
            </w:pPr>
            <w:r w:rsidRPr="008F3C4C">
              <w:rPr>
                <w:rFonts w:ascii="Arial" w:hAnsi="Arial" w:cs="Arial"/>
                <w:b/>
                <w:bCs/>
                <w:color w:val="000000"/>
                <w:sz w:val="14"/>
                <w:szCs w:val="14"/>
              </w:rPr>
              <w:t>$10,335</w:t>
            </w:r>
          </w:p>
        </w:tc>
      </w:tr>
      <w:tr w:rsidR="00010370" w:rsidRPr="00880020" w:rsidTr="00010370">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tcPr>
          <w:p w:rsidR="00010370" w:rsidRPr="00CB3451" w:rsidRDefault="00010370" w:rsidP="00F57448">
            <w:pPr>
              <w:spacing w:after="0" w:line="240" w:lineRule="auto"/>
              <w:jc w:val="both"/>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Low income working-age people with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010370" w:rsidRPr="00880020" w:rsidRDefault="00010370" w:rsidP="00F57448">
            <w:pPr>
              <w:spacing w:after="0" w:line="240" w:lineRule="auto"/>
              <w:jc w:val="right"/>
              <w:rPr>
                <w:rFonts w:ascii="Arial" w:eastAsia="Times New Roman" w:hAnsi="Arial" w:cs="Arial"/>
                <w:b/>
                <w:bCs/>
                <w:color w:val="000000"/>
                <w:sz w:val="14"/>
                <w:szCs w:val="14"/>
              </w:rPr>
            </w:pPr>
          </w:p>
        </w:tc>
      </w:tr>
      <w:tr w:rsidR="00010370" w:rsidRPr="00ED720F" w:rsidTr="00010370">
        <w:trPr>
          <w:trHeight w:val="20"/>
        </w:trPr>
        <w:tc>
          <w:tcPr>
            <w:tcW w:w="1188" w:type="dxa"/>
            <w:tcBorders>
              <w:top w:val="single" w:sz="12" w:space="0" w:color="auto"/>
              <w:left w:val="single" w:sz="12" w:space="0" w:color="000000"/>
              <w:bottom w:val="nil"/>
              <w:right w:val="single" w:sz="12" w:space="0" w:color="000000"/>
            </w:tcBorders>
            <w:shd w:val="clear" w:color="auto" w:fill="B6DD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92"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14.4%</w:t>
            </w:r>
          </w:p>
        </w:tc>
        <w:tc>
          <w:tcPr>
            <w:tcW w:w="81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81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3.4%</w:t>
            </w:r>
          </w:p>
        </w:tc>
        <w:tc>
          <w:tcPr>
            <w:tcW w:w="81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single" w:sz="12" w:space="0" w:color="auto"/>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w:t>
            </w:r>
          </w:p>
        </w:tc>
        <w:tc>
          <w:tcPr>
            <w:tcW w:w="720" w:type="dxa"/>
            <w:tcBorders>
              <w:top w:val="single" w:sz="12" w:space="0" w:color="auto"/>
              <w:left w:val="single" w:sz="12" w:space="0" w:color="000000"/>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15.2%</w:t>
            </w:r>
          </w:p>
        </w:tc>
        <w:tc>
          <w:tcPr>
            <w:tcW w:w="72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4.1%</w:t>
            </w:r>
          </w:p>
        </w:tc>
        <w:tc>
          <w:tcPr>
            <w:tcW w:w="648"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72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47.8%</w:t>
            </w:r>
          </w:p>
        </w:tc>
        <w:tc>
          <w:tcPr>
            <w:tcW w:w="720" w:type="dxa"/>
            <w:tcBorders>
              <w:top w:val="single" w:sz="12" w:space="0" w:color="auto"/>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single" w:sz="12" w:space="0" w:color="auto"/>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w:t>
            </w:r>
          </w:p>
        </w:tc>
        <w:tc>
          <w:tcPr>
            <w:tcW w:w="810" w:type="dxa"/>
            <w:tcBorders>
              <w:top w:val="single" w:sz="12" w:space="0" w:color="auto"/>
              <w:left w:val="single" w:sz="4" w:space="0" w:color="000000"/>
              <w:bottom w:val="nil"/>
              <w:right w:val="single" w:sz="12"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single" w:sz="12" w:space="0" w:color="auto"/>
              <w:left w:val="nil"/>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24.7%</w:t>
            </w:r>
          </w:p>
        </w:tc>
        <w:tc>
          <w:tcPr>
            <w:tcW w:w="810" w:type="dxa"/>
            <w:tcBorders>
              <w:top w:val="single" w:sz="12" w:space="0" w:color="auto"/>
              <w:left w:val="single" w:sz="4" w:space="0" w:color="000000"/>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75.3%</w:t>
            </w:r>
          </w:p>
        </w:tc>
        <w:tc>
          <w:tcPr>
            <w:tcW w:w="810" w:type="dxa"/>
            <w:tcBorders>
              <w:top w:val="single" w:sz="12" w:space="0" w:color="auto"/>
              <w:left w:val="single" w:sz="4" w:space="0" w:color="000000"/>
              <w:bottom w:val="nil"/>
              <w:right w:val="single" w:sz="12" w:space="0" w:color="000000"/>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FF0000"/>
                <w:sz w:val="14"/>
                <w:szCs w:val="14"/>
              </w:rPr>
              <w:t>(0.0%)</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59.9%</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5.2%</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20.8%</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810" w:type="dxa"/>
            <w:tcBorders>
              <w:top w:val="nil"/>
              <w:left w:val="nil"/>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67.5%</w:t>
            </w:r>
          </w:p>
        </w:tc>
        <w:tc>
          <w:tcPr>
            <w:tcW w:w="810" w:type="dxa"/>
            <w:tcBorders>
              <w:top w:val="nil"/>
              <w:left w:val="single" w:sz="4" w:space="0" w:color="000000"/>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32.5%</w:t>
            </w:r>
          </w:p>
        </w:tc>
        <w:tc>
          <w:tcPr>
            <w:tcW w:w="810" w:type="dxa"/>
            <w:tcBorders>
              <w:top w:val="nil"/>
              <w:left w:val="single" w:sz="4" w:space="0" w:color="000000"/>
              <w:bottom w:val="nil"/>
              <w:right w:val="single" w:sz="12" w:space="0" w:color="000000"/>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nil"/>
              <w:right w:val="single" w:sz="12" w:space="0" w:color="000000"/>
            </w:tcBorders>
            <w:shd w:val="clear" w:color="auto" w:fill="B6DD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no children</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FF0000"/>
                <w:sz w:val="14"/>
                <w:szCs w:val="14"/>
              </w:rPr>
              <w:t>(2.0%)</w:t>
            </w:r>
          </w:p>
        </w:tc>
        <w:tc>
          <w:tcPr>
            <w:tcW w:w="792"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32.7%</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4.7%</w:t>
            </w:r>
          </w:p>
        </w:tc>
        <w:tc>
          <w:tcPr>
            <w:tcW w:w="720" w:type="dxa"/>
            <w:tcBorders>
              <w:top w:val="nil"/>
              <w:left w:val="single" w:sz="12" w:space="0" w:color="000000"/>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16.2%</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648"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6.0%</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25.7%</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720" w:type="dxa"/>
            <w:tcBorders>
              <w:top w:val="nil"/>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single" w:sz="4" w:space="0" w:color="000000"/>
              <w:bottom w:val="nil"/>
              <w:right w:val="single" w:sz="12"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w:t>
            </w:r>
          </w:p>
        </w:tc>
        <w:tc>
          <w:tcPr>
            <w:tcW w:w="810" w:type="dxa"/>
            <w:tcBorders>
              <w:top w:val="nil"/>
              <w:left w:val="nil"/>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39.1%</w:t>
            </w:r>
          </w:p>
        </w:tc>
        <w:tc>
          <w:tcPr>
            <w:tcW w:w="810" w:type="dxa"/>
            <w:tcBorders>
              <w:top w:val="nil"/>
              <w:left w:val="single" w:sz="4" w:space="0" w:color="000000"/>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60.9%</w:t>
            </w:r>
          </w:p>
        </w:tc>
        <w:tc>
          <w:tcPr>
            <w:tcW w:w="810" w:type="dxa"/>
            <w:tcBorders>
              <w:top w:val="nil"/>
              <w:left w:val="single" w:sz="4" w:space="0" w:color="000000"/>
              <w:bottom w:val="nil"/>
              <w:right w:val="single" w:sz="12" w:space="0" w:color="000000"/>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5.2%</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26.7%</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30.5%</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6.3%</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15.8%</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3.1%</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3.9%</w:t>
            </w:r>
          </w:p>
        </w:tc>
        <w:tc>
          <w:tcPr>
            <w:tcW w:w="810" w:type="dxa"/>
            <w:tcBorders>
              <w:top w:val="nil"/>
              <w:left w:val="nil"/>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36.8%</w:t>
            </w:r>
          </w:p>
        </w:tc>
        <w:tc>
          <w:tcPr>
            <w:tcW w:w="810" w:type="dxa"/>
            <w:tcBorders>
              <w:top w:val="nil"/>
              <w:left w:val="single" w:sz="4" w:space="0" w:color="000000"/>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63.2%</w:t>
            </w:r>
          </w:p>
        </w:tc>
        <w:tc>
          <w:tcPr>
            <w:tcW w:w="810" w:type="dxa"/>
            <w:tcBorders>
              <w:top w:val="nil"/>
              <w:left w:val="single" w:sz="4" w:space="0" w:color="000000"/>
              <w:bottom w:val="nil"/>
              <w:right w:val="single" w:sz="12" w:space="0" w:color="000000"/>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nil"/>
              <w:right w:val="single" w:sz="12" w:space="0" w:color="000000"/>
            </w:tcBorders>
            <w:shd w:val="clear" w:color="auto" w:fill="B6DD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 xml:space="preserve">Female lone-parent family* </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792"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9.5%</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5.6%</w:t>
            </w:r>
          </w:p>
        </w:tc>
        <w:tc>
          <w:tcPr>
            <w:tcW w:w="720" w:type="dxa"/>
            <w:tcBorders>
              <w:top w:val="nil"/>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single" w:sz="12" w:space="0" w:color="000000"/>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28.8%</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4.4%</w:t>
            </w:r>
          </w:p>
        </w:tc>
        <w:tc>
          <w:tcPr>
            <w:tcW w:w="648"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39.6%</w:t>
            </w:r>
          </w:p>
        </w:tc>
        <w:tc>
          <w:tcPr>
            <w:tcW w:w="720" w:type="dxa"/>
            <w:tcBorders>
              <w:top w:val="nil"/>
              <w:left w:val="nil"/>
              <w:bottom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3.9%</w:t>
            </w:r>
          </w:p>
        </w:tc>
        <w:tc>
          <w:tcPr>
            <w:tcW w:w="810" w:type="dxa"/>
            <w:tcBorders>
              <w:top w:val="nil"/>
              <w:left w:val="single" w:sz="4" w:space="0" w:color="000000"/>
              <w:bottom w:val="nil"/>
              <w:right w:val="single" w:sz="12"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4.3%</w:t>
            </w:r>
          </w:p>
        </w:tc>
        <w:tc>
          <w:tcPr>
            <w:tcW w:w="810" w:type="dxa"/>
            <w:tcBorders>
              <w:top w:val="nil"/>
              <w:left w:val="nil"/>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17.0%</w:t>
            </w:r>
          </w:p>
        </w:tc>
        <w:tc>
          <w:tcPr>
            <w:tcW w:w="810" w:type="dxa"/>
            <w:tcBorders>
              <w:top w:val="nil"/>
              <w:left w:val="single" w:sz="4" w:space="0" w:color="000000"/>
              <w:bottom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83.0%</w:t>
            </w:r>
          </w:p>
        </w:tc>
        <w:tc>
          <w:tcPr>
            <w:tcW w:w="810" w:type="dxa"/>
            <w:tcBorders>
              <w:top w:val="nil"/>
              <w:left w:val="single" w:sz="4" w:space="0" w:color="000000"/>
              <w:bottom w:val="nil"/>
              <w:right w:val="single" w:sz="12" w:space="0" w:color="000000"/>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nil"/>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 xml:space="preserve">Male lone-parent family* </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92"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20.1%</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35.2%</w:t>
            </w:r>
          </w:p>
        </w:tc>
        <w:tc>
          <w:tcPr>
            <w:tcW w:w="720" w:type="dxa"/>
            <w:tcBorders>
              <w:top w:val="nil"/>
              <w:left w:val="single" w:sz="12" w:space="0" w:color="000000"/>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11.4%</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648"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26.0%</w:t>
            </w:r>
          </w:p>
        </w:tc>
        <w:tc>
          <w:tcPr>
            <w:tcW w:w="720" w:type="dxa"/>
            <w:tcBorders>
              <w:top w:val="nil"/>
              <w:left w:val="nil"/>
              <w:bottom w:val="nil"/>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nil"/>
              <w:bottom w:val="nil"/>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single" w:sz="4" w:space="0" w:color="000000"/>
              <w:bottom w:val="nil"/>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810" w:type="dxa"/>
            <w:tcBorders>
              <w:top w:val="nil"/>
              <w:left w:val="nil"/>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55.9%</w:t>
            </w:r>
          </w:p>
        </w:tc>
        <w:tc>
          <w:tcPr>
            <w:tcW w:w="810" w:type="dxa"/>
            <w:tcBorders>
              <w:top w:val="nil"/>
              <w:left w:val="single" w:sz="4" w:space="0" w:color="000000"/>
              <w:bottom w:val="nil"/>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44.1%</w:t>
            </w:r>
          </w:p>
        </w:tc>
        <w:tc>
          <w:tcPr>
            <w:tcW w:w="810" w:type="dxa"/>
            <w:tcBorders>
              <w:top w:val="nil"/>
              <w:left w:val="single" w:sz="4" w:space="0" w:color="000000"/>
              <w:bottom w:val="nil"/>
              <w:right w:val="single" w:sz="12" w:space="0" w:color="000000"/>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right w:val="single" w:sz="12" w:space="0" w:color="000000"/>
            </w:tcBorders>
            <w:shd w:val="clear" w:color="auto" w:fill="B6DDE8"/>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 xml:space="preserve">Other </w:t>
            </w:r>
          </w:p>
        </w:tc>
        <w:tc>
          <w:tcPr>
            <w:tcW w:w="72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20.6%</w:t>
            </w:r>
          </w:p>
        </w:tc>
        <w:tc>
          <w:tcPr>
            <w:tcW w:w="792"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15.4%</w:t>
            </w:r>
          </w:p>
        </w:tc>
        <w:tc>
          <w:tcPr>
            <w:tcW w:w="81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w:t>
            </w:r>
          </w:p>
        </w:tc>
        <w:tc>
          <w:tcPr>
            <w:tcW w:w="720" w:type="dxa"/>
            <w:tcBorders>
              <w:top w:val="nil"/>
              <w:left w:val="single" w:sz="12" w:space="0" w:color="000000"/>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10.7%</w:t>
            </w:r>
          </w:p>
        </w:tc>
        <w:tc>
          <w:tcPr>
            <w:tcW w:w="72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648"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38.3%</w:t>
            </w:r>
          </w:p>
        </w:tc>
        <w:tc>
          <w:tcPr>
            <w:tcW w:w="720" w:type="dxa"/>
            <w:tcBorders>
              <w:top w:val="nil"/>
              <w:left w:val="nil"/>
              <w:right w:val="single" w:sz="4"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nil"/>
              <w:right w:val="nil"/>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w:t>
            </w:r>
          </w:p>
        </w:tc>
        <w:tc>
          <w:tcPr>
            <w:tcW w:w="810" w:type="dxa"/>
            <w:tcBorders>
              <w:top w:val="nil"/>
              <w:left w:val="single" w:sz="4" w:space="0" w:color="000000"/>
              <w:right w:val="single" w:sz="12" w:space="0" w:color="000000"/>
            </w:tcBorders>
            <w:shd w:val="clear" w:color="auto" w:fill="B6DDE8"/>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41.1%</w:t>
            </w:r>
          </w:p>
        </w:tc>
        <w:tc>
          <w:tcPr>
            <w:tcW w:w="810" w:type="dxa"/>
            <w:tcBorders>
              <w:top w:val="nil"/>
              <w:left w:val="single" w:sz="4" w:space="0" w:color="000000"/>
              <w:right w:val="nil"/>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58.9%</w:t>
            </w:r>
          </w:p>
        </w:tc>
        <w:tc>
          <w:tcPr>
            <w:tcW w:w="810" w:type="dxa"/>
            <w:tcBorders>
              <w:top w:val="nil"/>
              <w:left w:val="single" w:sz="4" w:space="0" w:color="000000"/>
              <w:right w:val="single" w:sz="12" w:space="0" w:color="000000"/>
            </w:tcBorders>
            <w:shd w:val="clear" w:color="auto" w:fill="B6DDE8"/>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r w:rsidR="00010370" w:rsidRPr="00ED720F" w:rsidTr="00010370">
        <w:trPr>
          <w:trHeight w:val="20"/>
        </w:trPr>
        <w:tc>
          <w:tcPr>
            <w:tcW w:w="1188" w:type="dxa"/>
            <w:tcBorders>
              <w:top w:val="nil"/>
              <w:left w:val="single" w:sz="12" w:space="0" w:color="000000"/>
              <w:bottom w:val="single" w:sz="12" w:space="0" w:color="auto"/>
              <w:right w:val="single" w:sz="12" w:space="0" w:color="000000"/>
            </w:tcBorders>
            <w:shd w:val="clear" w:color="auto" w:fill="auto"/>
            <w:hideMark/>
          </w:tcPr>
          <w:p w:rsidR="00010370" w:rsidRPr="00982127" w:rsidRDefault="00010370" w:rsidP="00F57448">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792"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23.7%</w:t>
            </w:r>
          </w:p>
        </w:tc>
        <w:tc>
          <w:tcPr>
            <w:tcW w:w="81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81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w:t>
            </w:r>
          </w:p>
        </w:tc>
        <w:tc>
          <w:tcPr>
            <w:tcW w:w="81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single" w:sz="12" w:space="0" w:color="auto"/>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4.0%</w:t>
            </w:r>
          </w:p>
        </w:tc>
        <w:tc>
          <w:tcPr>
            <w:tcW w:w="720" w:type="dxa"/>
            <w:tcBorders>
              <w:top w:val="nil"/>
              <w:left w:val="single" w:sz="12" w:space="0" w:color="000000"/>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9.0%</w:t>
            </w:r>
          </w:p>
        </w:tc>
        <w:tc>
          <w:tcPr>
            <w:tcW w:w="72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8.9%</w:t>
            </w:r>
          </w:p>
        </w:tc>
        <w:tc>
          <w:tcPr>
            <w:tcW w:w="72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w:t>
            </w:r>
          </w:p>
        </w:tc>
        <w:tc>
          <w:tcPr>
            <w:tcW w:w="648"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72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35.3%</w:t>
            </w:r>
          </w:p>
        </w:tc>
        <w:tc>
          <w:tcPr>
            <w:tcW w:w="720" w:type="dxa"/>
            <w:tcBorders>
              <w:top w:val="nil"/>
              <w:left w:val="nil"/>
              <w:bottom w:val="single" w:sz="12" w:space="0" w:color="auto"/>
              <w:right w:val="single" w:sz="4"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single" w:sz="12" w:space="0" w:color="auto"/>
              <w:right w:val="nil"/>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010370" w:rsidRPr="00982127" w:rsidRDefault="00010370"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w:t>
            </w:r>
          </w:p>
        </w:tc>
        <w:tc>
          <w:tcPr>
            <w:tcW w:w="810" w:type="dxa"/>
            <w:tcBorders>
              <w:top w:val="nil"/>
              <w:left w:val="nil"/>
              <w:bottom w:val="single" w:sz="12" w:space="0" w:color="auto"/>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34.8%</w:t>
            </w:r>
          </w:p>
        </w:tc>
        <w:tc>
          <w:tcPr>
            <w:tcW w:w="810" w:type="dxa"/>
            <w:tcBorders>
              <w:top w:val="nil"/>
              <w:left w:val="single" w:sz="4" w:space="0" w:color="000000"/>
              <w:bottom w:val="single" w:sz="12" w:space="0" w:color="auto"/>
              <w:right w:val="nil"/>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65.2%</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010370" w:rsidRPr="00ED720F" w:rsidRDefault="00010370" w:rsidP="00F57448">
            <w:pPr>
              <w:spacing w:after="0" w:line="240" w:lineRule="auto"/>
              <w:jc w:val="right"/>
              <w:rPr>
                <w:rFonts w:ascii="Arial" w:hAnsi="Arial" w:cs="Arial"/>
                <w:b/>
                <w:bCs/>
                <w:color w:val="000000"/>
                <w:sz w:val="14"/>
                <w:szCs w:val="14"/>
              </w:rPr>
            </w:pPr>
            <w:r w:rsidRPr="00ED720F">
              <w:rPr>
                <w:rFonts w:ascii="Arial" w:hAnsi="Arial" w:cs="Arial"/>
                <w:b/>
                <w:bCs/>
                <w:color w:val="000000"/>
                <w:sz w:val="14"/>
                <w:szCs w:val="14"/>
              </w:rPr>
              <w:t>100.0%</w:t>
            </w:r>
          </w:p>
        </w:tc>
      </w:tr>
    </w:tbl>
    <w:p w:rsidR="00490031" w:rsidRPr="00880020" w:rsidRDefault="00490031" w:rsidP="00010370">
      <w:pPr>
        <w:spacing w:after="0"/>
        <w:rPr>
          <w:rFonts w:ascii="Arial" w:hAnsi="Arial" w:cs="Arial"/>
          <w:sz w:val="14"/>
          <w:szCs w:val="14"/>
        </w:rPr>
      </w:pPr>
    </w:p>
    <w:p w:rsidR="00F57448" w:rsidRPr="003B2090" w:rsidRDefault="00F57448" w:rsidP="00F57448">
      <w:pPr>
        <w:rPr>
          <w:rFonts w:ascii="Arial" w:hAnsi="Arial" w:cs="Arial"/>
          <w:sz w:val="14"/>
          <w:szCs w:val="14"/>
        </w:rPr>
      </w:pP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F57448"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F57448" w:rsidRPr="00880020" w:rsidRDefault="00F57448" w:rsidP="00F57448">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lastRenderedPageBreak/>
              <w:t xml:space="preserve">Table </w:t>
            </w:r>
            <w:r>
              <w:rPr>
                <w:rFonts w:ascii="Arial" w:eastAsia="Times New Roman" w:hAnsi="Arial" w:cs="Arial"/>
                <w:b/>
                <w:bCs/>
                <w:color w:val="000000"/>
                <w:sz w:val="14"/>
                <w:szCs w:val="14"/>
              </w:rPr>
              <w:t>A2b</w:t>
            </w:r>
            <w:r w:rsidRPr="00880020">
              <w:rPr>
                <w:rFonts w:ascii="Arial" w:eastAsia="Times New Roman" w:hAnsi="Arial" w:cs="Arial"/>
                <w:b/>
                <w:bCs/>
                <w:color w:val="000000"/>
                <w:sz w:val="14"/>
                <w:szCs w:val="14"/>
              </w:rPr>
              <w:t>. Market income and government transfer income of low-income, working</w:t>
            </w:r>
            <w:r>
              <w:rPr>
                <w:rFonts w:ascii="Arial" w:eastAsia="Times New Roman" w:hAnsi="Arial" w:cs="Arial"/>
                <w:b/>
                <w:bCs/>
                <w:color w:val="000000"/>
                <w:sz w:val="14"/>
                <w:szCs w:val="14"/>
              </w:rPr>
              <w:t>-age people (16-64 years) without disabilities, by living arrangements</w:t>
            </w:r>
            <w:r w:rsidRPr="00880020">
              <w:rPr>
                <w:rFonts w:ascii="Arial" w:eastAsia="Times New Roman" w:hAnsi="Arial" w:cs="Arial"/>
                <w:b/>
                <w:bCs/>
                <w:color w:val="000000"/>
                <w:sz w:val="14"/>
                <w:szCs w:val="14"/>
              </w:rPr>
              <w:t xml:space="preserve"> (Source: SLID 2009 PUMF)</w:t>
            </w:r>
          </w:p>
        </w:tc>
      </w:tr>
      <w:tr w:rsidR="00F57448"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F57448"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F57448" w:rsidRPr="00880020" w:rsidRDefault="00F57448" w:rsidP="00F57448">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183B54" w:rsidP="00F57448">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F57448"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F57448" w:rsidRPr="00880020" w:rsidRDefault="00F57448" w:rsidP="00F57448">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F57448"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Low income working-age people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hideMark/>
          </w:tcPr>
          <w:p w:rsidR="00F57448" w:rsidRPr="00880020" w:rsidRDefault="00F57448" w:rsidP="00F57448">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F57448"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000000" w:fill="B7DE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$1,063</w:t>
            </w:r>
          </w:p>
        </w:tc>
        <w:tc>
          <w:tcPr>
            <w:tcW w:w="792"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$4,209</w:t>
            </w:r>
          </w:p>
        </w:tc>
        <w:tc>
          <w:tcPr>
            <w:tcW w:w="81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$274</w:t>
            </w:r>
          </w:p>
        </w:tc>
        <w:tc>
          <w:tcPr>
            <w:tcW w:w="81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$320</w:t>
            </w:r>
          </w:p>
        </w:tc>
        <w:tc>
          <w:tcPr>
            <w:tcW w:w="81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w:t>
            </w:r>
          </w:p>
        </w:tc>
        <w:tc>
          <w:tcPr>
            <w:tcW w:w="720" w:type="dxa"/>
            <w:tcBorders>
              <w:top w:val="single" w:sz="12" w:space="0" w:color="auto"/>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$177</w:t>
            </w:r>
          </w:p>
        </w:tc>
        <w:tc>
          <w:tcPr>
            <w:tcW w:w="720" w:type="dxa"/>
            <w:tcBorders>
              <w:top w:val="single" w:sz="12" w:space="0" w:color="auto"/>
              <w:left w:val="single" w:sz="12" w:space="0" w:color="000000"/>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$379</w:t>
            </w:r>
          </w:p>
        </w:tc>
        <w:tc>
          <w:tcPr>
            <w:tcW w:w="72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$70</w:t>
            </w:r>
          </w:p>
        </w:tc>
        <w:tc>
          <w:tcPr>
            <w:tcW w:w="81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$658</w:t>
            </w:r>
          </w:p>
        </w:tc>
        <w:tc>
          <w:tcPr>
            <w:tcW w:w="648"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72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$1,145</w:t>
            </w:r>
          </w:p>
        </w:tc>
        <w:tc>
          <w:tcPr>
            <w:tcW w:w="720" w:type="dxa"/>
            <w:tcBorders>
              <w:top w:val="single" w:sz="12" w:space="0" w:color="auto"/>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$171</w:t>
            </w:r>
          </w:p>
        </w:tc>
        <w:tc>
          <w:tcPr>
            <w:tcW w:w="720" w:type="dxa"/>
            <w:tcBorders>
              <w:top w:val="single" w:sz="12" w:space="0" w:color="auto"/>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$283</w:t>
            </w:r>
          </w:p>
        </w:tc>
        <w:tc>
          <w:tcPr>
            <w:tcW w:w="810" w:type="dxa"/>
            <w:tcBorders>
              <w:top w:val="single" w:sz="12" w:space="0" w:color="auto"/>
              <w:left w:val="single" w:sz="4" w:space="0" w:color="000000"/>
              <w:bottom w:val="nil"/>
              <w:right w:val="single" w:sz="12"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$222</w:t>
            </w:r>
          </w:p>
        </w:tc>
        <w:tc>
          <w:tcPr>
            <w:tcW w:w="810" w:type="dxa"/>
            <w:tcBorders>
              <w:top w:val="single" w:sz="12" w:space="0" w:color="auto"/>
              <w:left w:val="nil"/>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$6,051</w:t>
            </w:r>
          </w:p>
        </w:tc>
        <w:tc>
          <w:tcPr>
            <w:tcW w:w="810" w:type="dxa"/>
            <w:tcBorders>
              <w:top w:val="single" w:sz="12" w:space="0" w:color="auto"/>
              <w:left w:val="single" w:sz="4" w:space="0" w:color="000000"/>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$2,953</w:t>
            </w:r>
          </w:p>
        </w:tc>
        <w:tc>
          <w:tcPr>
            <w:tcW w:w="810" w:type="dxa"/>
            <w:tcBorders>
              <w:top w:val="single" w:sz="12" w:space="0" w:color="auto"/>
              <w:left w:val="single" w:sz="4" w:space="0" w:color="000000"/>
              <w:bottom w:val="nil"/>
              <w:right w:val="single" w:sz="12" w:space="0" w:color="000000"/>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$9,004</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$443</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$24,338</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$189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$319</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$571</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$165</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$237</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$82</w:t>
            </w:r>
          </w:p>
        </w:tc>
        <w:tc>
          <w:tcPr>
            <w:tcW w:w="810" w:type="dxa"/>
            <w:tcBorders>
              <w:top w:val="nil"/>
              <w:left w:val="nil"/>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$25,290</w:t>
            </w:r>
          </w:p>
        </w:tc>
        <w:tc>
          <w:tcPr>
            <w:tcW w:w="810" w:type="dxa"/>
            <w:tcBorders>
              <w:top w:val="nil"/>
              <w:left w:val="single" w:sz="4" w:space="0" w:color="000000"/>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$1,326</w:t>
            </w:r>
          </w:p>
        </w:tc>
        <w:tc>
          <w:tcPr>
            <w:tcW w:w="810" w:type="dxa"/>
            <w:tcBorders>
              <w:top w:val="nil"/>
              <w:left w:val="single" w:sz="4" w:space="0" w:color="000000"/>
              <w:bottom w:val="nil"/>
              <w:right w:val="single" w:sz="12" w:space="0" w:color="000000"/>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$26,616</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$578</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$2,722</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$926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$97</w:t>
            </w:r>
          </w:p>
        </w:tc>
        <w:tc>
          <w:tcPr>
            <w:tcW w:w="720" w:type="dxa"/>
            <w:tcBorders>
              <w:top w:val="nil"/>
              <w:left w:val="single" w:sz="12" w:space="0" w:color="000000"/>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$252</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$711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$211</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$226</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$122</w:t>
            </w:r>
          </w:p>
        </w:tc>
        <w:tc>
          <w:tcPr>
            <w:tcW w:w="810" w:type="dxa"/>
            <w:tcBorders>
              <w:top w:val="nil"/>
              <w:left w:val="nil"/>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$4,356</w:t>
            </w:r>
          </w:p>
        </w:tc>
        <w:tc>
          <w:tcPr>
            <w:tcW w:w="810" w:type="dxa"/>
            <w:tcBorders>
              <w:top w:val="nil"/>
              <w:left w:val="single" w:sz="4" w:space="0" w:color="000000"/>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$1,798</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$6,154</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$427</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$3,096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$539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$359</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$2,734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$626</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$492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$212</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$300</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$481</w:t>
            </w:r>
          </w:p>
        </w:tc>
        <w:tc>
          <w:tcPr>
            <w:tcW w:w="810" w:type="dxa"/>
            <w:tcBorders>
              <w:top w:val="nil"/>
              <w:left w:val="nil"/>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$4,460</w:t>
            </w:r>
          </w:p>
        </w:tc>
        <w:tc>
          <w:tcPr>
            <w:tcW w:w="810" w:type="dxa"/>
            <w:tcBorders>
              <w:top w:val="nil"/>
              <w:left w:val="single" w:sz="4" w:space="0" w:color="000000"/>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$4,895</w:t>
            </w:r>
          </w:p>
        </w:tc>
        <w:tc>
          <w:tcPr>
            <w:tcW w:w="810" w:type="dxa"/>
            <w:tcBorders>
              <w:top w:val="nil"/>
              <w:left w:val="single" w:sz="4" w:space="0" w:color="000000"/>
              <w:bottom w:val="nil"/>
              <w:right w:val="single" w:sz="12" w:space="0" w:color="000000"/>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$9,355</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$87</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$2,191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$78</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$254</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$116</w:t>
            </w:r>
          </w:p>
        </w:tc>
        <w:tc>
          <w:tcPr>
            <w:tcW w:w="720" w:type="dxa"/>
            <w:tcBorders>
              <w:top w:val="nil"/>
              <w:left w:val="single" w:sz="12" w:space="0" w:color="000000"/>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$3,851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$538</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$2,246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$136</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$454</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$561</w:t>
            </w:r>
          </w:p>
        </w:tc>
        <w:tc>
          <w:tcPr>
            <w:tcW w:w="810" w:type="dxa"/>
            <w:tcBorders>
              <w:top w:val="nil"/>
              <w:left w:val="nil"/>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$2,726</w:t>
            </w:r>
          </w:p>
        </w:tc>
        <w:tc>
          <w:tcPr>
            <w:tcW w:w="810" w:type="dxa"/>
            <w:tcBorders>
              <w:top w:val="nil"/>
              <w:left w:val="single" w:sz="4" w:space="0" w:color="000000"/>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$7,827</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$10,553</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$1,790</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$14,857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$149</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$2,419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$488</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$338</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$371</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$202</w:t>
            </w:r>
          </w:p>
        </w:tc>
        <w:tc>
          <w:tcPr>
            <w:tcW w:w="810" w:type="dxa"/>
            <w:tcBorders>
              <w:top w:val="nil"/>
              <w:left w:val="nil"/>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$16,833</w:t>
            </w:r>
          </w:p>
        </w:tc>
        <w:tc>
          <w:tcPr>
            <w:tcW w:w="810" w:type="dxa"/>
            <w:tcBorders>
              <w:top w:val="nil"/>
              <w:left w:val="single" w:sz="4" w:space="0" w:color="000000"/>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$4,392</w:t>
            </w:r>
          </w:p>
        </w:tc>
        <w:tc>
          <w:tcPr>
            <w:tcW w:w="810" w:type="dxa"/>
            <w:tcBorders>
              <w:top w:val="nil"/>
              <w:left w:val="single" w:sz="4" w:space="0" w:color="000000"/>
              <w:bottom w:val="nil"/>
              <w:right w:val="single" w:sz="12" w:space="0" w:color="000000"/>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$21,225</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$350</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$2,889</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$681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$89</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$78</w:t>
            </w:r>
          </w:p>
        </w:tc>
        <w:tc>
          <w:tcPr>
            <w:tcW w:w="720" w:type="dxa"/>
            <w:tcBorders>
              <w:top w:val="nil"/>
              <w:left w:val="single" w:sz="12" w:space="0" w:color="000000"/>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$367</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$72</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$75</w:t>
            </w:r>
          </w:p>
        </w:tc>
        <w:tc>
          <w:tcPr>
            <w:tcW w:w="720" w:type="dxa"/>
            <w:tcBorders>
              <w:top w:val="nil"/>
              <w:left w:val="nil"/>
              <w:bottom w:val="nil"/>
              <w:right w:val="nil"/>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$266</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$158</w:t>
            </w:r>
          </w:p>
        </w:tc>
        <w:tc>
          <w:tcPr>
            <w:tcW w:w="810" w:type="dxa"/>
            <w:tcBorders>
              <w:top w:val="nil"/>
              <w:left w:val="nil"/>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$4,087</w:t>
            </w:r>
          </w:p>
        </w:tc>
        <w:tc>
          <w:tcPr>
            <w:tcW w:w="810" w:type="dxa"/>
            <w:tcBorders>
              <w:top w:val="nil"/>
              <w:left w:val="single" w:sz="4" w:space="0" w:color="000000"/>
              <w:bottom w:val="nil"/>
              <w:right w:val="nil"/>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$1,371</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$5,458</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$606</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$7,157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$83</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$416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$229</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$1,173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$525</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$751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$176</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$290</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$283</w:t>
            </w:r>
          </w:p>
        </w:tc>
        <w:tc>
          <w:tcPr>
            <w:tcW w:w="810" w:type="dxa"/>
            <w:tcBorders>
              <w:top w:val="nil"/>
              <w:left w:val="nil"/>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$8,527</w:t>
            </w:r>
          </w:p>
        </w:tc>
        <w:tc>
          <w:tcPr>
            <w:tcW w:w="810" w:type="dxa"/>
            <w:tcBorders>
              <w:top w:val="nil"/>
              <w:left w:val="single" w:sz="4" w:space="0" w:color="000000"/>
              <w:bottom w:val="nil"/>
              <w:right w:val="nil"/>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$3,413</w:t>
            </w:r>
          </w:p>
        </w:tc>
        <w:tc>
          <w:tcPr>
            <w:tcW w:w="810" w:type="dxa"/>
            <w:tcBorders>
              <w:top w:val="nil"/>
              <w:left w:val="single" w:sz="4" w:space="0" w:color="000000"/>
              <w:bottom w:val="nil"/>
              <w:right w:val="single" w:sz="12" w:space="0" w:color="000000"/>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$11,940</w:t>
            </w:r>
          </w:p>
        </w:tc>
      </w:tr>
      <w:tr w:rsidR="00F57448"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F57448" w:rsidRPr="00880020" w:rsidRDefault="00F57448" w:rsidP="00F57448">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Low income working-age people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auto"/>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nil"/>
              <w:bottom w:val="single" w:sz="12" w:space="0" w:color="auto"/>
              <w:right w:val="single" w:sz="4" w:space="0" w:color="auto"/>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F57448" w:rsidRPr="00880020" w:rsidRDefault="00F57448" w:rsidP="00F57448">
            <w:pPr>
              <w:spacing w:after="0" w:line="240" w:lineRule="auto"/>
              <w:jc w:val="right"/>
              <w:rPr>
                <w:rFonts w:ascii="Arial" w:eastAsia="Times New Roman" w:hAnsi="Arial" w:cs="Arial"/>
                <w:b/>
                <w:bCs/>
                <w:color w:val="000000"/>
                <w:sz w:val="14"/>
                <w:szCs w:val="14"/>
              </w:rPr>
            </w:pP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11.8%</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46.7%</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720" w:type="dxa"/>
            <w:tcBorders>
              <w:top w:val="nil"/>
              <w:left w:val="single" w:sz="12" w:space="0" w:color="000000"/>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4.2%</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7.3%</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12.7%</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3.1%</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67.2%</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32.8%</w:t>
            </w:r>
          </w:p>
        </w:tc>
        <w:tc>
          <w:tcPr>
            <w:tcW w:w="810" w:type="dxa"/>
            <w:tcBorders>
              <w:top w:val="nil"/>
              <w:left w:val="nil"/>
              <w:bottom w:val="nil"/>
              <w:right w:val="single" w:sz="8"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1.7%</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91.4%</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95.0%</w:t>
            </w:r>
          </w:p>
        </w:tc>
        <w:tc>
          <w:tcPr>
            <w:tcW w:w="810" w:type="dxa"/>
            <w:tcBorders>
              <w:top w:val="nil"/>
              <w:left w:val="nil"/>
              <w:bottom w:val="nil"/>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5.0%</w:t>
            </w:r>
          </w:p>
        </w:tc>
        <w:tc>
          <w:tcPr>
            <w:tcW w:w="810" w:type="dxa"/>
            <w:tcBorders>
              <w:top w:val="nil"/>
              <w:left w:val="nil"/>
              <w:bottom w:val="nil"/>
              <w:right w:val="single" w:sz="8"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9.4%</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44.2%</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single" w:sz="12" w:space="0" w:color="000000"/>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4.1%</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11.6%</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3.4%</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3.7%</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70.8%</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29.2%</w:t>
            </w:r>
          </w:p>
        </w:tc>
        <w:tc>
          <w:tcPr>
            <w:tcW w:w="810" w:type="dxa"/>
            <w:tcBorders>
              <w:top w:val="nil"/>
              <w:left w:val="nil"/>
              <w:bottom w:val="nil"/>
              <w:right w:val="single" w:sz="8"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4.6%</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33.1%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5.8%</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3.8%</w:t>
            </w:r>
          </w:p>
        </w:tc>
        <w:tc>
          <w:tcPr>
            <w:tcW w:w="720" w:type="dxa"/>
            <w:tcBorders>
              <w:top w:val="nil"/>
              <w:left w:val="single" w:sz="12" w:space="0" w:color="000000"/>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6.7%</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720" w:type="dxa"/>
            <w:tcBorders>
              <w:top w:val="nil"/>
              <w:left w:val="nil"/>
              <w:bottom w:val="nil"/>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3.2%</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5.1%</w:t>
            </w:r>
          </w:p>
        </w:tc>
        <w:tc>
          <w:tcPr>
            <w:tcW w:w="810" w:type="dxa"/>
            <w:tcBorders>
              <w:top w:val="nil"/>
              <w:left w:val="nil"/>
              <w:bottom w:val="nil"/>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47.7%</w:t>
            </w:r>
          </w:p>
        </w:tc>
        <w:tc>
          <w:tcPr>
            <w:tcW w:w="810" w:type="dxa"/>
            <w:tcBorders>
              <w:top w:val="nil"/>
              <w:left w:val="nil"/>
              <w:bottom w:val="nil"/>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52.3%</w:t>
            </w:r>
          </w:p>
        </w:tc>
        <w:tc>
          <w:tcPr>
            <w:tcW w:w="810" w:type="dxa"/>
            <w:tcBorders>
              <w:top w:val="nil"/>
              <w:left w:val="nil"/>
              <w:bottom w:val="nil"/>
              <w:right w:val="single" w:sz="8"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20.8%</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720" w:type="dxa"/>
            <w:tcBorders>
              <w:top w:val="nil"/>
              <w:left w:val="single" w:sz="12" w:space="0" w:color="000000"/>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36.5%</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5.1%</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21.3%</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4.3%</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5.3%</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25.8%</w:t>
            </w:r>
          </w:p>
        </w:tc>
        <w:tc>
          <w:tcPr>
            <w:tcW w:w="810" w:type="dxa"/>
            <w:tcBorders>
              <w:top w:val="nil"/>
              <w:left w:val="nil"/>
              <w:bottom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74.2%</w:t>
            </w:r>
          </w:p>
        </w:tc>
        <w:tc>
          <w:tcPr>
            <w:tcW w:w="810" w:type="dxa"/>
            <w:tcBorders>
              <w:top w:val="nil"/>
              <w:left w:val="nil"/>
              <w:bottom w:val="nil"/>
              <w:right w:val="single" w:sz="8"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151746"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151746" w:rsidRPr="00982127" w:rsidRDefault="00151746" w:rsidP="00F57448">
            <w:pPr>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92"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single" w:sz="12" w:space="0" w:color="000000"/>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648"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single" w:sz="4"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720" w:type="dxa"/>
            <w:tcBorders>
              <w:top w:val="nil"/>
              <w:left w:val="nil"/>
              <w:bottom w:val="nil"/>
              <w:right w:val="nil"/>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single" w:sz="4" w:space="0" w:color="000000"/>
              <w:bottom w:val="nil"/>
              <w:right w:val="single" w:sz="12" w:space="0" w:color="000000"/>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auto"/>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4" w:space="0" w:color="auto"/>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c>
          <w:tcPr>
            <w:tcW w:w="810" w:type="dxa"/>
            <w:tcBorders>
              <w:top w:val="nil"/>
              <w:left w:val="nil"/>
              <w:bottom w:val="nil"/>
              <w:right w:val="single" w:sz="8" w:space="0" w:color="auto"/>
            </w:tcBorders>
            <w:shd w:val="clear" w:color="auto" w:fill="auto"/>
            <w:noWrap/>
            <w:vAlign w:val="center"/>
          </w:tcPr>
          <w:p w:rsidR="00151746" w:rsidRPr="00880020" w:rsidRDefault="00151746" w:rsidP="008F5E4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F</w:t>
            </w:r>
          </w:p>
        </w:tc>
      </w:tr>
      <w:tr w:rsidR="00F57448" w:rsidRPr="00880020" w:rsidTr="00186CBB">
        <w:trPr>
          <w:trHeight w:val="20"/>
        </w:trPr>
        <w:tc>
          <w:tcPr>
            <w:tcW w:w="1188" w:type="dxa"/>
            <w:tcBorders>
              <w:top w:val="nil"/>
              <w:left w:val="single" w:sz="12" w:space="0" w:color="000000"/>
              <w:right w:val="single" w:sz="12" w:space="0" w:color="000000"/>
            </w:tcBorders>
            <w:shd w:val="clear" w:color="auto" w:fill="B6DDE8"/>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6.4%</w:t>
            </w:r>
          </w:p>
        </w:tc>
        <w:tc>
          <w:tcPr>
            <w:tcW w:w="792"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52.9%</w:t>
            </w:r>
          </w:p>
        </w:tc>
        <w:tc>
          <w:tcPr>
            <w:tcW w:w="81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12.5%</w:t>
            </w:r>
          </w:p>
        </w:tc>
        <w:tc>
          <w:tcPr>
            <w:tcW w:w="81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single" w:sz="12" w:space="0" w:color="000000"/>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6.7%</w:t>
            </w:r>
          </w:p>
        </w:tc>
        <w:tc>
          <w:tcPr>
            <w:tcW w:w="72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72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648"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5.1%</w:t>
            </w:r>
          </w:p>
        </w:tc>
        <w:tc>
          <w:tcPr>
            <w:tcW w:w="720" w:type="dxa"/>
            <w:tcBorders>
              <w:top w:val="nil"/>
              <w:left w:val="nil"/>
              <w:right w:val="single" w:sz="4"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nil"/>
              <w:right w:val="nil"/>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4.9%</w:t>
            </w:r>
          </w:p>
        </w:tc>
        <w:tc>
          <w:tcPr>
            <w:tcW w:w="810" w:type="dxa"/>
            <w:tcBorders>
              <w:top w:val="nil"/>
              <w:left w:val="single" w:sz="4" w:space="0" w:color="000000"/>
              <w:right w:val="single" w:sz="12" w:space="0" w:color="000000"/>
            </w:tcBorders>
            <w:shd w:val="clear" w:color="auto" w:fill="B6DDE8"/>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810" w:type="dxa"/>
            <w:tcBorders>
              <w:top w:val="nil"/>
              <w:left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74.9%</w:t>
            </w:r>
          </w:p>
        </w:tc>
        <w:tc>
          <w:tcPr>
            <w:tcW w:w="810" w:type="dxa"/>
            <w:tcBorders>
              <w:top w:val="nil"/>
              <w:left w:val="nil"/>
              <w:right w:val="single" w:sz="4"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25.1%</w:t>
            </w:r>
          </w:p>
        </w:tc>
        <w:tc>
          <w:tcPr>
            <w:tcW w:w="810" w:type="dxa"/>
            <w:tcBorders>
              <w:top w:val="nil"/>
              <w:left w:val="nil"/>
              <w:right w:val="single" w:sz="8" w:space="0" w:color="auto"/>
            </w:tcBorders>
            <w:shd w:val="clear" w:color="auto" w:fill="B6DDE8"/>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auto" w:fill="auto"/>
          </w:tcPr>
          <w:p w:rsidR="00F57448" w:rsidRPr="00982127" w:rsidRDefault="00F57448" w:rsidP="00F57448">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5.1%</w:t>
            </w:r>
          </w:p>
        </w:tc>
        <w:tc>
          <w:tcPr>
            <w:tcW w:w="792"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59.9%</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single" w:sz="12" w:space="0" w:color="auto"/>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single" w:sz="12" w:space="0" w:color="000000"/>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9.8%</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4.4%</w:t>
            </w:r>
          </w:p>
        </w:tc>
        <w:tc>
          <w:tcPr>
            <w:tcW w:w="648"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6.3%</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720" w:type="dxa"/>
            <w:tcBorders>
              <w:top w:val="nil"/>
              <w:left w:val="nil"/>
              <w:bottom w:val="single" w:sz="12" w:space="0" w:color="auto"/>
              <w:right w:val="nil"/>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F57448" w:rsidRPr="00982127" w:rsidRDefault="00F57448" w:rsidP="00F57448">
            <w:pPr>
              <w:spacing w:after="0" w:line="240" w:lineRule="auto"/>
              <w:jc w:val="right"/>
              <w:rPr>
                <w:rFonts w:ascii="Arial" w:hAnsi="Arial" w:cs="Arial"/>
                <w:color w:val="000000"/>
                <w:sz w:val="14"/>
                <w:szCs w:val="14"/>
              </w:rPr>
            </w:pPr>
            <w:r w:rsidRPr="00982127">
              <w:rPr>
                <w:rFonts w:ascii="Arial" w:hAnsi="Arial" w:cs="Arial"/>
                <w:color w:val="000000"/>
                <w:sz w:val="14"/>
                <w:szCs w:val="14"/>
              </w:rPr>
              <w:t>2.4%</w:t>
            </w:r>
          </w:p>
        </w:tc>
        <w:tc>
          <w:tcPr>
            <w:tcW w:w="810" w:type="dxa"/>
            <w:tcBorders>
              <w:top w:val="nil"/>
              <w:left w:val="nil"/>
              <w:bottom w:val="single" w:sz="12" w:space="0" w:color="auto"/>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71.4%</w:t>
            </w:r>
          </w:p>
        </w:tc>
        <w:tc>
          <w:tcPr>
            <w:tcW w:w="810" w:type="dxa"/>
            <w:tcBorders>
              <w:top w:val="nil"/>
              <w:left w:val="nil"/>
              <w:bottom w:val="single" w:sz="12" w:space="0" w:color="auto"/>
              <w:right w:val="single" w:sz="4"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28.6%</w:t>
            </w:r>
          </w:p>
        </w:tc>
        <w:tc>
          <w:tcPr>
            <w:tcW w:w="810" w:type="dxa"/>
            <w:tcBorders>
              <w:top w:val="nil"/>
              <w:left w:val="nil"/>
              <w:bottom w:val="single" w:sz="12" w:space="0" w:color="auto"/>
              <w:right w:val="single" w:sz="8" w:space="0" w:color="auto"/>
            </w:tcBorders>
            <w:shd w:val="clear" w:color="auto" w:fill="auto"/>
            <w:noWrap/>
            <w:vAlign w:val="center"/>
          </w:tcPr>
          <w:p w:rsidR="00F57448" w:rsidRPr="00564118" w:rsidRDefault="00F57448" w:rsidP="00F57448">
            <w:pPr>
              <w:spacing w:after="0" w:line="240" w:lineRule="auto"/>
              <w:jc w:val="right"/>
              <w:rPr>
                <w:rFonts w:ascii="Arial" w:hAnsi="Arial" w:cs="Arial"/>
                <w:b/>
                <w:bCs/>
                <w:color w:val="000000"/>
                <w:sz w:val="14"/>
                <w:szCs w:val="14"/>
              </w:rPr>
            </w:pPr>
            <w:r w:rsidRPr="00564118">
              <w:rPr>
                <w:rFonts w:ascii="Arial" w:hAnsi="Arial" w:cs="Arial"/>
                <w:b/>
                <w:bCs/>
                <w:color w:val="000000"/>
                <w:sz w:val="14"/>
                <w:szCs w:val="14"/>
              </w:rPr>
              <w:t>100.0%</w:t>
            </w:r>
          </w:p>
        </w:tc>
      </w:tr>
    </w:tbl>
    <w:p w:rsidR="00C43F17" w:rsidRDefault="00C43F17"/>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F57448"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F57448" w:rsidRPr="00880020" w:rsidRDefault="00C43F17" w:rsidP="00C43F17">
            <w:pPr>
              <w:keepNext/>
              <w:spacing w:after="0" w:line="240" w:lineRule="auto"/>
              <w:rPr>
                <w:rFonts w:ascii="Arial" w:eastAsia="Times New Roman" w:hAnsi="Arial" w:cs="Arial"/>
                <w:b/>
                <w:bCs/>
                <w:color w:val="000000"/>
                <w:sz w:val="14"/>
                <w:szCs w:val="14"/>
              </w:rPr>
            </w:pPr>
            <w:r>
              <w:lastRenderedPageBreak/>
              <w:br w:type="page"/>
            </w:r>
            <w:r w:rsidR="00F57448">
              <w:br w:type="page"/>
            </w:r>
            <w:r w:rsidR="00F57448" w:rsidRPr="00880020">
              <w:rPr>
                <w:rFonts w:ascii="Arial" w:eastAsia="Times New Roman" w:hAnsi="Arial" w:cs="Arial"/>
                <w:b/>
                <w:bCs/>
                <w:color w:val="000000"/>
                <w:sz w:val="14"/>
                <w:szCs w:val="14"/>
              </w:rPr>
              <w:t xml:space="preserve">Table </w:t>
            </w:r>
            <w:r w:rsidR="00F57448">
              <w:rPr>
                <w:rFonts w:ascii="Arial" w:eastAsia="Times New Roman" w:hAnsi="Arial" w:cs="Arial"/>
                <w:b/>
                <w:bCs/>
                <w:color w:val="000000"/>
                <w:sz w:val="14"/>
                <w:szCs w:val="14"/>
              </w:rPr>
              <w:t>A2c</w:t>
            </w:r>
            <w:r w:rsidR="00F57448" w:rsidRPr="00880020">
              <w:rPr>
                <w:rFonts w:ascii="Arial" w:eastAsia="Times New Roman" w:hAnsi="Arial" w:cs="Arial"/>
                <w:b/>
                <w:bCs/>
                <w:color w:val="000000"/>
                <w:sz w:val="14"/>
                <w:szCs w:val="14"/>
              </w:rPr>
              <w:t>. Market income and government transfer income of working</w:t>
            </w:r>
            <w:r w:rsidR="00F57448">
              <w:rPr>
                <w:rFonts w:ascii="Arial" w:eastAsia="Times New Roman" w:hAnsi="Arial" w:cs="Arial"/>
                <w:b/>
                <w:bCs/>
                <w:color w:val="000000"/>
                <w:sz w:val="14"/>
                <w:szCs w:val="14"/>
              </w:rPr>
              <w:t>-age people (16-64 years)  without disabilities and incomes above the LICO, by living arrangements</w:t>
            </w:r>
            <w:r w:rsidR="00F57448" w:rsidRPr="00880020">
              <w:rPr>
                <w:rFonts w:ascii="Arial" w:eastAsia="Times New Roman" w:hAnsi="Arial" w:cs="Arial"/>
                <w:b/>
                <w:bCs/>
                <w:color w:val="000000"/>
                <w:sz w:val="14"/>
                <w:szCs w:val="14"/>
              </w:rPr>
              <w:t xml:space="preserve"> (Source: SLID 2009 PUMF)</w:t>
            </w:r>
          </w:p>
        </w:tc>
      </w:tr>
      <w:tr w:rsidR="00F57448"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F57448"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183B54" w:rsidP="00C43F17">
            <w:pPr>
              <w:keepNext/>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F57448"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F57448" w:rsidRPr="00880020" w:rsidRDefault="00F57448" w:rsidP="00C43F17">
            <w:pPr>
              <w:keepNext/>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F57448" w:rsidRPr="00880020" w:rsidTr="00186CBB">
        <w:trPr>
          <w:trHeight w:val="20"/>
        </w:trPr>
        <w:tc>
          <w:tcPr>
            <w:tcW w:w="5850" w:type="dxa"/>
            <w:gridSpan w:val="7"/>
            <w:tcBorders>
              <w:top w:val="single" w:sz="12" w:space="0" w:color="auto"/>
              <w:left w:val="single" w:sz="12" w:space="0" w:color="000000"/>
              <w:bottom w:val="single" w:sz="12" w:space="0" w:color="auto"/>
              <w:right w:val="single" w:sz="12" w:space="0" w:color="000000"/>
            </w:tcBorders>
            <w:shd w:val="clear" w:color="000000" w:fill="FFFFFF"/>
            <w:hideMark/>
          </w:tcPr>
          <w:p w:rsidR="00F57448" w:rsidRPr="00715FAD" w:rsidRDefault="00F57448" w:rsidP="00C43F17">
            <w:pPr>
              <w:keepNext/>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Working-</w:t>
            </w:r>
            <w:r w:rsidRPr="00880020">
              <w:rPr>
                <w:rFonts w:ascii="Arial" w:eastAsia="Times New Roman" w:hAnsi="Arial" w:cs="Arial"/>
                <w:b/>
                <w:bCs/>
                <w:color w:val="000000"/>
                <w:sz w:val="14"/>
                <w:szCs w:val="14"/>
              </w:rPr>
              <w:t>age people</w:t>
            </w:r>
            <w:r>
              <w:rPr>
                <w:rFonts w:ascii="Arial" w:eastAsia="Times New Roman" w:hAnsi="Arial" w:cs="Arial"/>
                <w:b/>
                <w:bCs/>
                <w:color w:val="000000"/>
                <w:sz w:val="14"/>
                <w:szCs w:val="14"/>
              </w:rPr>
              <w:t xml:space="preserve"> without disabilities and incomes above the LICO – Showing $$</w:t>
            </w:r>
          </w:p>
        </w:tc>
        <w:tc>
          <w:tcPr>
            <w:tcW w:w="720" w:type="dxa"/>
            <w:tcBorders>
              <w:top w:val="single" w:sz="12" w:space="0" w:color="auto"/>
              <w:left w:val="single" w:sz="12" w:space="0" w:color="auto"/>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single" w:sz="12" w:space="0" w:color="auto"/>
            </w:tcBorders>
            <w:shd w:val="clear" w:color="000000" w:fill="FFFFFF"/>
            <w:noWrap/>
            <w:vAlign w:val="bottom"/>
            <w:hideMark/>
          </w:tcPr>
          <w:p w:rsidR="00F57448" w:rsidRPr="00880020" w:rsidRDefault="00F57448" w:rsidP="00C43F17">
            <w:pPr>
              <w:keepNext/>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$4,459</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$44,588</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$1,476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$1,771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$157</w:t>
            </w:r>
          </w:p>
        </w:tc>
        <w:tc>
          <w:tcPr>
            <w:tcW w:w="720" w:type="dxa"/>
            <w:tcBorders>
              <w:top w:val="nil"/>
              <w:left w:val="nil"/>
              <w:bottom w:val="nil"/>
              <w:right w:val="nil"/>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$778</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$509</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$1,082</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$128</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$60</w:t>
            </w:r>
          </w:p>
        </w:tc>
        <w:tc>
          <w:tcPr>
            <w:tcW w:w="810" w:type="dxa"/>
            <w:tcBorders>
              <w:top w:val="nil"/>
              <w:left w:val="nil"/>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$53,230</w:t>
            </w:r>
          </w:p>
        </w:tc>
        <w:tc>
          <w:tcPr>
            <w:tcW w:w="810" w:type="dxa"/>
            <w:tcBorders>
              <w:top w:val="nil"/>
              <w:left w:val="single" w:sz="4" w:space="0" w:color="000000"/>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$2,012</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$55,242</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$1,812</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$36,619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$496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$230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$240</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$1,177</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$48</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$175</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$50</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$39,413</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$1,894</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$41,306</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$3,245</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$36,940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$2,501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$1,461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nil"/>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$730</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$543</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$42</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$897</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$131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810" w:type="dxa"/>
            <w:tcBorders>
              <w:top w:val="nil"/>
              <w:left w:val="nil"/>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$44,890</w:t>
            </w:r>
          </w:p>
        </w:tc>
        <w:tc>
          <w:tcPr>
            <w:tcW w:w="810" w:type="dxa"/>
            <w:tcBorders>
              <w:top w:val="nil"/>
              <w:left w:val="single" w:sz="4" w:space="0" w:color="000000"/>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$1,704</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$46,594</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$2,910</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$34,265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$1,055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$75</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$540</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$653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$1,124</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$69</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$264</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$39,142</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$2,363</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$41,505</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$1,329</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$24,883</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$102</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$617</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$1,425</w:t>
            </w:r>
          </w:p>
        </w:tc>
        <w:tc>
          <w:tcPr>
            <w:tcW w:w="720" w:type="dxa"/>
            <w:tcBorders>
              <w:top w:val="nil"/>
              <w:left w:val="nil"/>
              <w:bottom w:val="nil"/>
              <w:right w:val="nil"/>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$439</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$1,807</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$597</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$328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$256</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$221</w:t>
            </w:r>
          </w:p>
        </w:tc>
        <w:tc>
          <w:tcPr>
            <w:tcW w:w="810" w:type="dxa"/>
            <w:tcBorders>
              <w:top w:val="nil"/>
              <w:left w:val="nil"/>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$28,795</w:t>
            </w:r>
          </w:p>
        </w:tc>
        <w:tc>
          <w:tcPr>
            <w:tcW w:w="810" w:type="dxa"/>
            <w:tcBorders>
              <w:top w:val="nil"/>
              <w:left w:val="single" w:sz="4" w:space="0" w:color="000000"/>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$3,504</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$32,299</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$1,560</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$32,416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$124</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$1,796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$34</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$187</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$1,104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$578</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$156</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$94</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$36,116</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$2,197</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$38,313</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$1,169</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$28,538</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$836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$790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$80</w:t>
            </w:r>
          </w:p>
        </w:tc>
        <w:tc>
          <w:tcPr>
            <w:tcW w:w="720" w:type="dxa"/>
            <w:tcBorders>
              <w:top w:val="nil"/>
              <w:left w:val="nil"/>
              <w:bottom w:val="nil"/>
              <w:right w:val="nil"/>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$605</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$286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$242</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$853</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$214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$147</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$120</w:t>
            </w:r>
          </w:p>
        </w:tc>
        <w:tc>
          <w:tcPr>
            <w:tcW w:w="810" w:type="dxa"/>
            <w:tcBorders>
              <w:top w:val="nil"/>
              <w:left w:val="nil"/>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$32,018</w:t>
            </w:r>
          </w:p>
        </w:tc>
        <w:tc>
          <w:tcPr>
            <w:tcW w:w="810" w:type="dxa"/>
            <w:tcBorders>
              <w:top w:val="nil"/>
              <w:left w:val="single" w:sz="4" w:space="0" w:color="000000"/>
              <w:bottom w:val="nil"/>
              <w:right w:val="nil"/>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$2,000</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$34,018</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$2,685</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$34,339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$953</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$1,118</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$136</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$593</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$441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$229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$994</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$38</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$92</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$159</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$39,824</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$2,171</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$41,995</w:t>
            </w:r>
          </w:p>
        </w:tc>
      </w:tr>
      <w:tr w:rsidR="00F57448"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F57448" w:rsidRPr="00715FAD" w:rsidRDefault="00F57448" w:rsidP="00C43F17">
            <w:pPr>
              <w:keepNext/>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Working-</w:t>
            </w:r>
            <w:r w:rsidRPr="00880020">
              <w:rPr>
                <w:rFonts w:ascii="Arial" w:eastAsia="Times New Roman" w:hAnsi="Arial" w:cs="Arial"/>
                <w:b/>
                <w:bCs/>
                <w:color w:val="000000"/>
                <w:sz w:val="14"/>
                <w:szCs w:val="14"/>
              </w:rPr>
              <w:t>age people</w:t>
            </w:r>
            <w:r>
              <w:rPr>
                <w:rFonts w:ascii="Arial" w:eastAsia="Times New Roman" w:hAnsi="Arial" w:cs="Arial"/>
                <w:b/>
                <w:bCs/>
                <w:color w:val="000000"/>
                <w:sz w:val="14"/>
                <w:szCs w:val="14"/>
              </w:rPr>
              <w:t xml:space="preserve"> without disabilities and incomes above the LICO – Showing % of total income</w:t>
            </w:r>
          </w:p>
        </w:tc>
        <w:tc>
          <w:tcPr>
            <w:tcW w:w="720" w:type="dxa"/>
            <w:tcBorders>
              <w:top w:val="single" w:sz="12" w:space="0" w:color="auto"/>
              <w:left w:val="single" w:sz="12" w:space="0" w:color="auto"/>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F57448" w:rsidRPr="00880020" w:rsidRDefault="00F57448" w:rsidP="00C43F17">
            <w:pPr>
              <w:keepNext/>
              <w:spacing w:after="0" w:line="240" w:lineRule="auto"/>
              <w:jc w:val="right"/>
              <w:rPr>
                <w:rFonts w:ascii="Arial" w:eastAsia="Times New Roman" w:hAnsi="Arial" w:cs="Arial"/>
                <w:b/>
                <w:bCs/>
                <w:color w:val="000000"/>
                <w:sz w:val="14"/>
                <w:szCs w:val="14"/>
              </w:rPr>
            </w:pPr>
          </w:p>
        </w:tc>
      </w:tr>
      <w:tr w:rsidR="00F57448"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B6DD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8.1%</w:t>
            </w:r>
          </w:p>
        </w:tc>
        <w:tc>
          <w:tcPr>
            <w:tcW w:w="792"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80.7%</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3.2%</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single" w:sz="12" w:space="0" w:color="auto"/>
              <w:left w:val="nil"/>
              <w:bottom w:val="nil"/>
              <w:right w:val="nil"/>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single" w:sz="12" w:space="0" w:color="auto"/>
              <w:left w:val="single" w:sz="12" w:space="0" w:color="auto"/>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648"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single" w:sz="12" w:space="0" w:color="auto"/>
              <w:left w:val="nil"/>
              <w:bottom w:val="nil"/>
              <w:right w:val="single" w:sz="12" w:space="0" w:color="auto"/>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single" w:sz="12" w:space="0" w:color="auto"/>
              <w:left w:val="nil"/>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96.4%</w:t>
            </w:r>
          </w:p>
        </w:tc>
        <w:tc>
          <w:tcPr>
            <w:tcW w:w="810" w:type="dxa"/>
            <w:tcBorders>
              <w:top w:val="single" w:sz="12" w:space="0" w:color="auto"/>
              <w:left w:val="single" w:sz="4" w:space="0" w:color="000000"/>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3.6%</w:t>
            </w:r>
          </w:p>
        </w:tc>
        <w:tc>
          <w:tcPr>
            <w:tcW w:w="810" w:type="dxa"/>
            <w:tcBorders>
              <w:top w:val="single" w:sz="12" w:space="0" w:color="auto"/>
              <w:left w:val="single" w:sz="4" w:space="0" w:color="000000"/>
              <w:bottom w:val="nil"/>
              <w:right w:val="single" w:sz="12" w:space="0" w:color="000000"/>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4.4%</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88.7%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95.4%</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4.6%</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7.0%</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79.3%</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5.4%</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3.1%</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single" w:sz="12" w:space="0" w:color="auto"/>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12" w:space="0" w:color="auto"/>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96.3%</w:t>
            </w:r>
          </w:p>
        </w:tc>
        <w:tc>
          <w:tcPr>
            <w:tcW w:w="810" w:type="dxa"/>
            <w:tcBorders>
              <w:top w:val="nil"/>
              <w:left w:val="single" w:sz="4" w:space="0" w:color="000000"/>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3.7%</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7.0%</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82.6%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94.3%</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5.7%</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4.1%</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77.0%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4.4%</w:t>
            </w:r>
          </w:p>
        </w:tc>
        <w:tc>
          <w:tcPr>
            <w:tcW w:w="720" w:type="dxa"/>
            <w:tcBorders>
              <w:top w:val="nil"/>
              <w:left w:val="nil"/>
              <w:bottom w:val="nil"/>
              <w:right w:val="nil"/>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single" w:sz="12" w:space="0" w:color="auto"/>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5.6%</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1.8%</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810" w:type="dxa"/>
            <w:tcBorders>
              <w:top w:val="nil"/>
              <w:left w:val="nil"/>
              <w:bottom w:val="nil"/>
              <w:right w:val="single" w:sz="12" w:space="0" w:color="auto"/>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89.2%</w:t>
            </w:r>
          </w:p>
        </w:tc>
        <w:tc>
          <w:tcPr>
            <w:tcW w:w="810" w:type="dxa"/>
            <w:tcBorders>
              <w:top w:val="nil"/>
              <w:left w:val="single" w:sz="4" w:space="0" w:color="000000"/>
              <w:bottom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10.8%</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4.1%</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84.6%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4.7%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94.3%</w:t>
            </w:r>
          </w:p>
        </w:tc>
        <w:tc>
          <w:tcPr>
            <w:tcW w:w="810" w:type="dxa"/>
            <w:tcBorders>
              <w:top w:val="nil"/>
              <w:left w:val="single" w:sz="4" w:space="0" w:color="000000"/>
              <w:bottom w:val="nil"/>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5.7%</w:t>
            </w:r>
          </w:p>
        </w:tc>
        <w:tc>
          <w:tcPr>
            <w:tcW w:w="810" w:type="dxa"/>
            <w:tcBorders>
              <w:top w:val="nil"/>
              <w:left w:val="single" w:sz="4" w:space="0" w:color="000000"/>
              <w:bottom w:val="nil"/>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right w:val="single" w:sz="12" w:space="0" w:color="000000"/>
            </w:tcBorders>
            <w:shd w:val="clear" w:color="auto" w:fill="B6DDE8"/>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3.4%</w:t>
            </w:r>
          </w:p>
        </w:tc>
        <w:tc>
          <w:tcPr>
            <w:tcW w:w="792"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83.9%</w:t>
            </w:r>
          </w:p>
        </w:tc>
        <w:tc>
          <w:tcPr>
            <w:tcW w:w="81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81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81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right w:val="nil"/>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1.8%</w:t>
            </w:r>
          </w:p>
        </w:tc>
        <w:tc>
          <w:tcPr>
            <w:tcW w:w="720" w:type="dxa"/>
            <w:tcBorders>
              <w:top w:val="nil"/>
              <w:left w:val="single" w:sz="12" w:space="0" w:color="auto"/>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648"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right w:val="single" w:sz="12" w:space="0" w:color="auto"/>
            </w:tcBorders>
            <w:shd w:val="clear" w:color="auto" w:fill="B6DDE8"/>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94.1%</w:t>
            </w:r>
          </w:p>
        </w:tc>
        <w:tc>
          <w:tcPr>
            <w:tcW w:w="810" w:type="dxa"/>
            <w:tcBorders>
              <w:top w:val="nil"/>
              <w:left w:val="single" w:sz="4" w:space="0" w:color="000000"/>
              <w:right w:val="nil"/>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5.9%</w:t>
            </w:r>
          </w:p>
        </w:tc>
        <w:tc>
          <w:tcPr>
            <w:tcW w:w="810" w:type="dxa"/>
            <w:tcBorders>
              <w:top w:val="nil"/>
              <w:left w:val="single" w:sz="4" w:space="0" w:color="000000"/>
              <w:right w:val="single" w:sz="12" w:space="0" w:color="000000"/>
            </w:tcBorders>
            <w:shd w:val="clear" w:color="auto" w:fill="B6DDE8"/>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auto" w:fill="auto"/>
          </w:tcPr>
          <w:p w:rsidR="00F57448" w:rsidRPr="00982127" w:rsidRDefault="00F57448" w:rsidP="00C43F17">
            <w:pPr>
              <w:keepNext/>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6.4%</w:t>
            </w:r>
          </w:p>
        </w:tc>
        <w:tc>
          <w:tcPr>
            <w:tcW w:w="792"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81.8%</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single" w:sz="12" w:space="0" w:color="auto"/>
              <w:right w:val="nil"/>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single" w:sz="12" w:space="0" w:color="auto"/>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2.4%</w:t>
            </w:r>
          </w:p>
        </w:tc>
        <w:tc>
          <w:tcPr>
            <w:tcW w:w="648"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single" w:sz="12" w:space="0" w:color="auto"/>
              <w:right w:val="single" w:sz="12" w:space="0" w:color="auto"/>
            </w:tcBorders>
            <w:shd w:val="clear" w:color="auto" w:fill="auto"/>
            <w:noWrap/>
            <w:vAlign w:val="center"/>
          </w:tcPr>
          <w:p w:rsidR="00F57448" w:rsidRPr="00982127" w:rsidRDefault="00F57448" w:rsidP="00C43F17">
            <w:pPr>
              <w:keepNext/>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single" w:sz="12" w:space="0" w:color="auto"/>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94.8%</w:t>
            </w:r>
          </w:p>
        </w:tc>
        <w:tc>
          <w:tcPr>
            <w:tcW w:w="810" w:type="dxa"/>
            <w:tcBorders>
              <w:top w:val="nil"/>
              <w:left w:val="single" w:sz="4" w:space="0" w:color="000000"/>
              <w:bottom w:val="single" w:sz="12" w:space="0" w:color="auto"/>
              <w:right w:val="nil"/>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5.2%</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F57448" w:rsidRPr="000B3CA1" w:rsidRDefault="00F57448" w:rsidP="00C43F17">
            <w:pPr>
              <w:keepNext/>
              <w:spacing w:after="0" w:line="240" w:lineRule="auto"/>
              <w:jc w:val="right"/>
              <w:rPr>
                <w:rFonts w:ascii="Arial" w:hAnsi="Arial" w:cs="Arial"/>
                <w:b/>
                <w:bCs/>
                <w:color w:val="000000"/>
                <w:sz w:val="14"/>
                <w:szCs w:val="14"/>
              </w:rPr>
            </w:pPr>
            <w:r w:rsidRPr="000B3CA1">
              <w:rPr>
                <w:rFonts w:ascii="Arial" w:hAnsi="Arial" w:cs="Arial"/>
                <w:b/>
                <w:bCs/>
                <w:color w:val="000000"/>
                <w:sz w:val="14"/>
                <w:szCs w:val="14"/>
              </w:rPr>
              <w:t>100.0%</w:t>
            </w:r>
          </w:p>
        </w:tc>
      </w:tr>
    </w:tbl>
    <w:p w:rsidR="00C43F17" w:rsidRDefault="00C43F17" w:rsidP="00382CC0">
      <w:pPr>
        <w:spacing w:after="0" w:line="240" w:lineRule="auto"/>
      </w:pPr>
    </w:p>
    <w:p w:rsidR="00F57448" w:rsidRDefault="00C43F17" w:rsidP="00382CC0">
      <w:pPr>
        <w:spacing w:after="0" w:line="240" w:lineRule="auto"/>
      </w:pPr>
      <w:r>
        <w:br w:type="page"/>
      </w:r>
    </w:p>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720"/>
        <w:gridCol w:w="810"/>
        <w:gridCol w:w="648"/>
        <w:gridCol w:w="720"/>
        <w:gridCol w:w="720"/>
        <w:gridCol w:w="720"/>
        <w:gridCol w:w="810"/>
        <w:gridCol w:w="810"/>
        <w:gridCol w:w="810"/>
        <w:gridCol w:w="810"/>
      </w:tblGrid>
      <w:tr w:rsidR="00F57448" w:rsidRPr="00880020" w:rsidTr="00186CBB">
        <w:trPr>
          <w:trHeight w:val="20"/>
          <w:tblHeader/>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F57448" w:rsidRPr="00880020" w:rsidRDefault="00F57448" w:rsidP="00382CC0">
            <w:pPr>
              <w:spacing w:after="0" w:line="240" w:lineRule="auto"/>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Table </w:t>
            </w:r>
            <w:r>
              <w:rPr>
                <w:rFonts w:ascii="Arial" w:eastAsia="Times New Roman" w:hAnsi="Arial" w:cs="Arial"/>
                <w:b/>
                <w:bCs/>
                <w:color w:val="000000"/>
                <w:sz w:val="14"/>
                <w:szCs w:val="14"/>
              </w:rPr>
              <w:t>A2d</w:t>
            </w:r>
            <w:r w:rsidRPr="00880020">
              <w:rPr>
                <w:rFonts w:ascii="Arial" w:eastAsia="Times New Roman" w:hAnsi="Arial" w:cs="Arial"/>
                <w:b/>
                <w:bCs/>
                <w:color w:val="000000"/>
                <w:sz w:val="14"/>
                <w:szCs w:val="14"/>
              </w:rPr>
              <w:t>. Market income and government transfer income of working</w:t>
            </w:r>
            <w:r>
              <w:rPr>
                <w:rFonts w:ascii="Arial" w:eastAsia="Times New Roman" w:hAnsi="Arial" w:cs="Arial"/>
                <w:b/>
                <w:bCs/>
                <w:color w:val="000000"/>
                <w:sz w:val="14"/>
                <w:szCs w:val="14"/>
              </w:rPr>
              <w:t>-age people (16-64 years) with and without disabilities, irrespective of low income status, by living arrangements</w:t>
            </w:r>
            <w:r w:rsidRPr="00880020">
              <w:rPr>
                <w:rFonts w:ascii="Arial" w:eastAsia="Times New Roman" w:hAnsi="Arial" w:cs="Arial"/>
                <w:b/>
                <w:bCs/>
                <w:color w:val="000000"/>
                <w:sz w:val="14"/>
                <w:szCs w:val="14"/>
              </w:rPr>
              <w:t xml:space="preserve"> (Source: SLID 2009 PUMF)</w:t>
            </w:r>
          </w:p>
        </w:tc>
      </w:tr>
      <w:tr w:rsidR="00F57448" w:rsidRPr="00880020" w:rsidTr="00186CBB">
        <w:trPr>
          <w:trHeight w:val="20"/>
          <w:tblHeader/>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382CC0">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382CC0">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F57448" w:rsidRPr="00880020" w:rsidRDefault="00F57448" w:rsidP="00382CC0">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F57448" w:rsidRPr="00880020" w:rsidTr="00186CBB">
        <w:trPr>
          <w:trHeight w:val="20"/>
          <w:tblHeader/>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F57448" w:rsidRPr="00880020" w:rsidRDefault="00183B54" w:rsidP="00382CC0">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F57448"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F57448" w:rsidRPr="00880020" w:rsidRDefault="00F57448" w:rsidP="00382CC0">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F57448" w:rsidRPr="00982127" w:rsidRDefault="00F57448" w:rsidP="00382CC0">
            <w:pPr>
              <w:spacing w:after="0" w:line="240" w:lineRule="auto"/>
              <w:jc w:val="center"/>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F57448" w:rsidRPr="00982127" w:rsidRDefault="00F57448" w:rsidP="00382CC0">
            <w:pPr>
              <w:spacing w:after="0" w:line="240" w:lineRule="auto"/>
              <w:jc w:val="center"/>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F57448" w:rsidRPr="00982127" w:rsidRDefault="00F57448" w:rsidP="00382CC0">
            <w:pPr>
              <w:spacing w:after="0" w:line="240" w:lineRule="auto"/>
              <w:jc w:val="center"/>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Total income</w:t>
            </w:r>
          </w:p>
        </w:tc>
      </w:tr>
      <w:tr w:rsidR="00F57448" w:rsidRPr="00880020" w:rsidTr="00186CBB">
        <w:trPr>
          <w:trHeight w:val="20"/>
        </w:trPr>
        <w:tc>
          <w:tcPr>
            <w:tcW w:w="5850" w:type="dxa"/>
            <w:gridSpan w:val="7"/>
            <w:tcBorders>
              <w:top w:val="single" w:sz="12" w:space="0" w:color="auto"/>
              <w:left w:val="single" w:sz="12" w:space="0" w:color="000000"/>
              <w:bottom w:val="single" w:sz="12" w:space="0" w:color="auto"/>
              <w:right w:val="single" w:sz="12" w:space="0" w:color="000000"/>
            </w:tcBorders>
            <w:shd w:val="clear" w:color="000000" w:fill="FFFFFF"/>
            <w:hideMark/>
          </w:tcPr>
          <w:p w:rsidR="00F57448" w:rsidRPr="00715FAD" w:rsidRDefault="00F57448" w:rsidP="00382CC0">
            <w:pPr>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All working-</w:t>
            </w:r>
            <w:r w:rsidRPr="00880020">
              <w:rPr>
                <w:rFonts w:ascii="Arial" w:eastAsia="Times New Roman" w:hAnsi="Arial" w:cs="Arial"/>
                <w:b/>
                <w:bCs/>
                <w:color w:val="000000"/>
                <w:sz w:val="14"/>
                <w:szCs w:val="14"/>
              </w:rPr>
              <w:t>age people</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auto"/>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000000" w:fill="FFFFFF"/>
            <w:noWrap/>
            <w:vAlign w:val="bottom"/>
            <w:hideMark/>
          </w:tcPr>
          <w:p w:rsidR="00F57448" w:rsidRPr="00880020" w:rsidRDefault="00F57448" w:rsidP="00382CC0">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F57448" w:rsidRPr="00982127" w:rsidRDefault="00F57448" w:rsidP="00382CC0">
            <w:pPr>
              <w:spacing w:after="0" w:line="240" w:lineRule="auto"/>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nil"/>
            </w:tcBorders>
            <w:shd w:val="clear" w:color="000000" w:fill="FFFFFF"/>
            <w:noWrap/>
            <w:vAlign w:val="bottom"/>
            <w:hideMark/>
          </w:tcPr>
          <w:p w:rsidR="00F57448" w:rsidRPr="00982127" w:rsidRDefault="00F57448" w:rsidP="00382CC0">
            <w:pPr>
              <w:spacing w:after="0" w:line="240" w:lineRule="auto"/>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 </w:t>
            </w:r>
          </w:p>
        </w:tc>
        <w:tc>
          <w:tcPr>
            <w:tcW w:w="810" w:type="dxa"/>
            <w:tcBorders>
              <w:top w:val="single" w:sz="12" w:space="0" w:color="auto"/>
              <w:left w:val="nil"/>
              <w:bottom w:val="single" w:sz="12" w:space="0" w:color="auto"/>
              <w:right w:val="single" w:sz="12" w:space="0" w:color="auto"/>
            </w:tcBorders>
            <w:shd w:val="clear" w:color="000000" w:fill="FFFFFF"/>
            <w:noWrap/>
            <w:vAlign w:val="bottom"/>
            <w:hideMark/>
          </w:tcPr>
          <w:p w:rsidR="00F57448" w:rsidRPr="00982127" w:rsidRDefault="00F57448" w:rsidP="00382CC0">
            <w:pPr>
              <w:spacing w:after="0" w:line="240" w:lineRule="auto"/>
              <w:rPr>
                <w:rFonts w:ascii="Arial" w:eastAsia="Times New Roman" w:hAnsi="Arial" w:cs="Arial"/>
                <w:b/>
                <w:bCs/>
                <w:color w:val="000000"/>
                <w:sz w:val="14"/>
                <w:szCs w:val="14"/>
              </w:rPr>
            </w:pPr>
            <w:r w:rsidRPr="00982127">
              <w:rPr>
                <w:rFonts w:ascii="Arial" w:eastAsia="Times New Roman" w:hAnsi="Arial" w:cs="Arial"/>
                <w:b/>
                <w:bCs/>
                <w:color w:val="000000"/>
                <w:sz w:val="14"/>
                <w:szCs w:val="14"/>
              </w:rPr>
              <w:t> </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$2,856</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$29,357</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$1,535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$1,275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$156</w:t>
            </w:r>
          </w:p>
        </w:tc>
        <w:tc>
          <w:tcPr>
            <w:tcW w:w="72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$821</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$913</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$50</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$984</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$248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$987</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$53</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$185</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$106</w:t>
            </w:r>
          </w:p>
        </w:tc>
        <w:tc>
          <w:tcPr>
            <w:tcW w:w="81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$36,000</w:t>
            </w:r>
          </w:p>
        </w:tc>
        <w:tc>
          <w:tcPr>
            <w:tcW w:w="810" w:type="dxa"/>
            <w:tcBorders>
              <w:top w:val="nil"/>
              <w:left w:val="single" w:sz="4" w:space="0" w:color="000000"/>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$3,526</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$39,526</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$1,267</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$29,847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$524</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$199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$336</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$237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$891</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$318</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$672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$201</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$61</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$32,186</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$2,546</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$34,732</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$2,777</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$31,422</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$2,575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$1,436</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$770</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$842</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$73</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$866</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$172</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$38</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w:t>
            </w:r>
          </w:p>
        </w:tc>
        <w:tc>
          <w:tcPr>
            <w:tcW w:w="81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$38,997</w:t>
            </w:r>
          </w:p>
        </w:tc>
        <w:tc>
          <w:tcPr>
            <w:tcW w:w="810" w:type="dxa"/>
            <w:tcBorders>
              <w:top w:val="nil"/>
              <w:left w:val="single" w:sz="4" w:space="0" w:color="000000"/>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$2,335</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$41,332</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$2,778</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$31,559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$325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$1,027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$78</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$529</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$785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$1,099</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$184</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$176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$85</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$264</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$36,297</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$2,722</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$39,019</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$964</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$19,528</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$114</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$457</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$1,376</w:t>
            </w:r>
          </w:p>
        </w:tc>
        <w:tc>
          <w:tcPr>
            <w:tcW w:w="72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$492</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$2,278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$186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$697</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$1,226</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$123</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$312</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$278</w:t>
            </w:r>
          </w:p>
        </w:tc>
        <w:tc>
          <w:tcPr>
            <w:tcW w:w="81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$22,930</w:t>
            </w:r>
          </w:p>
        </w:tc>
        <w:tc>
          <w:tcPr>
            <w:tcW w:w="810" w:type="dxa"/>
            <w:tcBorders>
              <w:top w:val="nil"/>
              <w:left w:val="single" w:sz="4" w:space="0" w:color="000000"/>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$5,258</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$28,188</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$1,903</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$28,101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$189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$1,222</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$52</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$460</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$1,399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$166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$694</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$307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$472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$211</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$108</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$31,927</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$3,449</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$35,376</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000000" w:fill="B7DE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$1,161</w:t>
            </w:r>
          </w:p>
        </w:tc>
        <w:tc>
          <w:tcPr>
            <w:tcW w:w="792"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$24,775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$901</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$707</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$80</w:t>
            </w:r>
          </w:p>
        </w:tc>
        <w:tc>
          <w:tcPr>
            <w:tcW w:w="72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$604</w:t>
            </w:r>
          </w:p>
        </w:tc>
        <w:tc>
          <w:tcPr>
            <w:tcW w:w="720" w:type="dxa"/>
            <w:tcBorders>
              <w:top w:val="nil"/>
              <w:left w:val="single" w:sz="12" w:space="0" w:color="auto"/>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$377</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$804</w:t>
            </w:r>
          </w:p>
        </w:tc>
        <w:tc>
          <w:tcPr>
            <w:tcW w:w="648"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$218</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$654</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$63</w:t>
            </w:r>
          </w:p>
        </w:tc>
        <w:tc>
          <w:tcPr>
            <w:tcW w:w="720" w:type="dxa"/>
            <w:tcBorders>
              <w:top w:val="nil"/>
              <w:left w:val="nil"/>
              <w:bottom w:val="nil"/>
              <w:right w:val="single" w:sz="4"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$159</w:t>
            </w:r>
          </w:p>
        </w:tc>
        <w:tc>
          <w:tcPr>
            <w:tcW w:w="810" w:type="dxa"/>
            <w:tcBorders>
              <w:top w:val="nil"/>
              <w:left w:val="nil"/>
              <w:bottom w:val="nil"/>
              <w:right w:val="single" w:sz="12" w:space="0" w:color="auto"/>
            </w:tcBorders>
            <w:shd w:val="clear" w:color="000000" w:fill="B7DE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$115</w:t>
            </w:r>
          </w:p>
        </w:tc>
        <w:tc>
          <w:tcPr>
            <w:tcW w:w="810" w:type="dxa"/>
            <w:tcBorders>
              <w:top w:val="nil"/>
              <w:left w:val="nil"/>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$28,228</w:t>
            </w:r>
          </w:p>
        </w:tc>
        <w:tc>
          <w:tcPr>
            <w:tcW w:w="810" w:type="dxa"/>
            <w:tcBorders>
              <w:top w:val="nil"/>
              <w:left w:val="single" w:sz="4" w:space="0" w:color="000000"/>
              <w:bottom w:val="nil"/>
              <w:right w:val="nil"/>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$2,709</w:t>
            </w:r>
          </w:p>
        </w:tc>
        <w:tc>
          <w:tcPr>
            <w:tcW w:w="810" w:type="dxa"/>
            <w:tcBorders>
              <w:top w:val="nil"/>
              <w:left w:val="single" w:sz="4" w:space="0" w:color="000000"/>
              <w:bottom w:val="nil"/>
              <w:right w:val="single" w:sz="12" w:space="0" w:color="000000"/>
            </w:tcBorders>
            <w:shd w:val="clear" w:color="000000" w:fill="B7DE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$30,937</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$2,326</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$29,299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$1,037</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$1,021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$144</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$615</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$500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$407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$948</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$226</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$438</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$119</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$159</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$34,441</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$2,876</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$37,317</w:t>
            </w:r>
          </w:p>
        </w:tc>
      </w:tr>
      <w:tr w:rsidR="00F57448" w:rsidRPr="00880020" w:rsidTr="00186CBB">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F57448" w:rsidRPr="00715FAD" w:rsidRDefault="00F57448" w:rsidP="00382CC0">
            <w:pPr>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All working-</w:t>
            </w:r>
            <w:r w:rsidRPr="00880020">
              <w:rPr>
                <w:rFonts w:ascii="Arial" w:eastAsia="Times New Roman" w:hAnsi="Arial" w:cs="Arial"/>
                <w:b/>
                <w:bCs/>
                <w:color w:val="000000"/>
                <w:sz w:val="14"/>
                <w:szCs w:val="14"/>
              </w:rPr>
              <w:t>age people</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auto"/>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12" w:space="0" w:color="auto"/>
            </w:tcBorders>
            <w:shd w:val="clear" w:color="auto" w:fill="auto"/>
            <w:noWrap/>
            <w:vAlign w:val="center"/>
          </w:tcPr>
          <w:p w:rsidR="00F57448" w:rsidRPr="00880020" w:rsidRDefault="00F57448" w:rsidP="00382CC0">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F57448" w:rsidRPr="00982127" w:rsidRDefault="00F57448" w:rsidP="00382CC0">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F57448" w:rsidRPr="00982127" w:rsidRDefault="00F57448" w:rsidP="00382CC0">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eastAsia="Times New Roman" w:hAnsi="Arial" w:cs="Arial"/>
                <w:b/>
                <w:bCs/>
                <w:color w:val="000000"/>
                <w:sz w:val="14"/>
                <w:szCs w:val="14"/>
              </w:rPr>
            </w:pPr>
          </w:p>
        </w:tc>
      </w:tr>
      <w:tr w:rsidR="00F57448" w:rsidRPr="00880020" w:rsidTr="00186CBB">
        <w:trPr>
          <w:trHeight w:val="20"/>
        </w:trPr>
        <w:tc>
          <w:tcPr>
            <w:tcW w:w="1188" w:type="dxa"/>
            <w:tcBorders>
              <w:top w:val="single" w:sz="12" w:space="0" w:color="auto"/>
              <w:left w:val="single" w:sz="12" w:space="0" w:color="000000"/>
              <w:bottom w:val="nil"/>
              <w:right w:val="single" w:sz="12" w:space="0" w:color="000000"/>
            </w:tcBorders>
            <w:shd w:val="clear" w:color="auto" w:fill="B6DD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one person household</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7.2%</w:t>
            </w:r>
          </w:p>
        </w:tc>
        <w:tc>
          <w:tcPr>
            <w:tcW w:w="792"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74.3%</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3.9%</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3.2%</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single" w:sz="12" w:space="0" w:color="auto"/>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720" w:type="dxa"/>
            <w:tcBorders>
              <w:top w:val="single" w:sz="12" w:space="0" w:color="auto"/>
              <w:left w:val="single" w:sz="12" w:space="0" w:color="auto"/>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648"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single" w:sz="12" w:space="0" w:color="auto"/>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810" w:type="dxa"/>
            <w:tcBorders>
              <w:top w:val="single" w:sz="12" w:space="0" w:color="auto"/>
              <w:left w:val="nil"/>
              <w:bottom w:val="nil"/>
              <w:right w:val="single" w:sz="12" w:space="0" w:color="auto"/>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single" w:sz="12" w:space="0" w:color="auto"/>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91.1%</w:t>
            </w:r>
          </w:p>
        </w:tc>
        <w:tc>
          <w:tcPr>
            <w:tcW w:w="810" w:type="dxa"/>
            <w:tcBorders>
              <w:top w:val="single" w:sz="12" w:space="0" w:color="auto"/>
              <w:left w:val="single" w:sz="4" w:space="0" w:color="000000"/>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8.9%</w:t>
            </w:r>
          </w:p>
        </w:tc>
        <w:tc>
          <w:tcPr>
            <w:tcW w:w="810" w:type="dxa"/>
            <w:tcBorders>
              <w:top w:val="single" w:sz="12" w:space="0" w:color="auto"/>
              <w:left w:val="single" w:sz="4" w:space="0" w:color="000000"/>
              <w:bottom w:val="nil"/>
              <w:right w:val="single" w:sz="12"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Unattached individual in multi-person household</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3.6%</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85.9%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92.7%</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7.3%</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couple/no children</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6.7%</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76.0%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6.2%</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1.9%</w:t>
            </w:r>
          </w:p>
        </w:tc>
        <w:tc>
          <w:tcPr>
            <w:tcW w:w="720" w:type="dxa"/>
            <w:tcBorders>
              <w:top w:val="nil"/>
              <w:left w:val="single" w:sz="12" w:space="0" w:color="auto"/>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single" w:sz="12" w:space="0" w:color="auto"/>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94.4%</w:t>
            </w:r>
          </w:p>
        </w:tc>
        <w:tc>
          <w:tcPr>
            <w:tcW w:w="810" w:type="dxa"/>
            <w:tcBorders>
              <w:top w:val="nil"/>
              <w:left w:val="single" w:sz="4" w:space="0" w:color="000000"/>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5.6%</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Married or common-law couple with children*</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7.1%</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80.9%</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0.8%</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1.4%</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93.0%</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7.0%</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B6DD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Female lone-parent family*</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3.4%</w:t>
            </w:r>
          </w:p>
        </w:tc>
        <w:tc>
          <w:tcPr>
            <w:tcW w:w="792"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69.3%</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4.9%</w:t>
            </w:r>
          </w:p>
        </w:tc>
        <w:tc>
          <w:tcPr>
            <w:tcW w:w="720" w:type="dxa"/>
            <w:tcBorders>
              <w:top w:val="nil"/>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1.7%</w:t>
            </w:r>
          </w:p>
        </w:tc>
        <w:tc>
          <w:tcPr>
            <w:tcW w:w="720" w:type="dxa"/>
            <w:tcBorders>
              <w:top w:val="nil"/>
              <w:left w:val="single" w:sz="12" w:space="0" w:color="auto"/>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8.1%</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648"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4.3%</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810" w:type="dxa"/>
            <w:tcBorders>
              <w:top w:val="nil"/>
              <w:left w:val="nil"/>
              <w:bottom w:val="nil"/>
              <w:right w:val="single" w:sz="12" w:space="0" w:color="auto"/>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1.0%</w:t>
            </w:r>
          </w:p>
        </w:tc>
        <w:tc>
          <w:tcPr>
            <w:tcW w:w="810" w:type="dxa"/>
            <w:tcBorders>
              <w:top w:val="nil"/>
              <w:left w:val="nil"/>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81.3%</w:t>
            </w:r>
          </w:p>
        </w:tc>
        <w:tc>
          <w:tcPr>
            <w:tcW w:w="810" w:type="dxa"/>
            <w:tcBorders>
              <w:top w:val="nil"/>
              <w:left w:val="single" w:sz="4" w:space="0" w:color="000000"/>
              <w:bottom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18.7%</w:t>
            </w:r>
          </w:p>
        </w:tc>
        <w:tc>
          <w:tcPr>
            <w:tcW w:w="810" w:type="dxa"/>
            <w:tcBorders>
              <w:top w:val="nil"/>
              <w:left w:val="single" w:sz="4" w:space="0" w:color="000000"/>
              <w:bottom w:val="nil"/>
              <w:right w:val="single" w:sz="12"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nil"/>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Male lone-parent family*</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5.4%</w:t>
            </w:r>
          </w:p>
        </w:tc>
        <w:tc>
          <w:tcPr>
            <w:tcW w:w="792"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79.4%</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3.5%</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single" w:sz="12" w:space="0" w:color="auto"/>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4.0%</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648"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810" w:type="dxa"/>
            <w:tcBorders>
              <w:top w:val="nil"/>
              <w:left w:val="nil"/>
              <w:bottom w:val="nil"/>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90.3%</w:t>
            </w:r>
          </w:p>
        </w:tc>
        <w:tc>
          <w:tcPr>
            <w:tcW w:w="810" w:type="dxa"/>
            <w:tcBorders>
              <w:top w:val="nil"/>
              <w:left w:val="single" w:sz="4" w:space="0" w:color="000000"/>
              <w:bottom w:val="nil"/>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9.7%</w:t>
            </w:r>
          </w:p>
        </w:tc>
        <w:tc>
          <w:tcPr>
            <w:tcW w:w="810" w:type="dxa"/>
            <w:tcBorders>
              <w:top w:val="nil"/>
              <w:left w:val="single" w:sz="4" w:space="0" w:color="000000"/>
              <w:bottom w:val="nil"/>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right w:val="single" w:sz="12" w:space="0" w:color="000000"/>
            </w:tcBorders>
            <w:shd w:val="clear" w:color="auto" w:fill="B6DDE8"/>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Other</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3.8%</w:t>
            </w:r>
          </w:p>
        </w:tc>
        <w:tc>
          <w:tcPr>
            <w:tcW w:w="792"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80.1%</w:t>
            </w:r>
          </w:p>
        </w:tc>
        <w:tc>
          <w:tcPr>
            <w:tcW w:w="81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2.9%</w:t>
            </w:r>
          </w:p>
        </w:tc>
        <w:tc>
          <w:tcPr>
            <w:tcW w:w="81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2.3%</w:t>
            </w:r>
          </w:p>
        </w:tc>
        <w:tc>
          <w:tcPr>
            <w:tcW w:w="81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720" w:type="dxa"/>
            <w:tcBorders>
              <w:top w:val="nil"/>
              <w:left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2.0%</w:t>
            </w:r>
          </w:p>
        </w:tc>
        <w:tc>
          <w:tcPr>
            <w:tcW w:w="720" w:type="dxa"/>
            <w:tcBorders>
              <w:top w:val="nil"/>
              <w:left w:val="single" w:sz="12" w:space="0" w:color="auto"/>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0.9%</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2.6%</w:t>
            </w:r>
          </w:p>
        </w:tc>
        <w:tc>
          <w:tcPr>
            <w:tcW w:w="648"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0.7%</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2.1%</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0.5%</w:t>
            </w:r>
          </w:p>
        </w:tc>
        <w:tc>
          <w:tcPr>
            <w:tcW w:w="810" w:type="dxa"/>
            <w:tcBorders>
              <w:top w:val="nil"/>
              <w:left w:val="nil"/>
              <w:right w:val="single" w:sz="12" w:space="0" w:color="auto"/>
            </w:tcBorders>
            <w:shd w:val="clear" w:color="auto" w:fill="B6DDE8"/>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91.2%</w:t>
            </w:r>
          </w:p>
        </w:tc>
        <w:tc>
          <w:tcPr>
            <w:tcW w:w="810" w:type="dxa"/>
            <w:tcBorders>
              <w:top w:val="nil"/>
              <w:left w:val="single" w:sz="4" w:space="0" w:color="000000"/>
              <w:right w:val="nil"/>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8.8%</w:t>
            </w:r>
          </w:p>
        </w:tc>
        <w:tc>
          <w:tcPr>
            <w:tcW w:w="810" w:type="dxa"/>
            <w:tcBorders>
              <w:top w:val="nil"/>
              <w:left w:val="single" w:sz="4" w:space="0" w:color="000000"/>
              <w:right w:val="single" w:sz="12" w:space="0" w:color="000000"/>
            </w:tcBorders>
            <w:shd w:val="clear" w:color="auto" w:fill="B6DDE8"/>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r w:rsidR="00F57448" w:rsidRPr="00880020" w:rsidTr="00186CBB">
        <w:trPr>
          <w:trHeight w:val="20"/>
        </w:trPr>
        <w:tc>
          <w:tcPr>
            <w:tcW w:w="1188" w:type="dxa"/>
            <w:tcBorders>
              <w:top w:val="nil"/>
              <w:left w:val="single" w:sz="12" w:space="0" w:color="000000"/>
              <w:bottom w:val="single" w:sz="12" w:space="0" w:color="auto"/>
              <w:right w:val="single" w:sz="12" w:space="0" w:color="000000"/>
            </w:tcBorders>
            <w:shd w:val="clear" w:color="auto" w:fill="auto"/>
          </w:tcPr>
          <w:p w:rsidR="00F57448" w:rsidRPr="00982127" w:rsidRDefault="00F57448" w:rsidP="00382CC0">
            <w:pPr>
              <w:spacing w:after="0" w:line="240" w:lineRule="auto"/>
              <w:rPr>
                <w:rFonts w:ascii="Arial" w:hAnsi="Arial" w:cs="Arial"/>
                <w:color w:val="000000"/>
                <w:sz w:val="14"/>
                <w:szCs w:val="14"/>
              </w:rPr>
            </w:pPr>
            <w:r w:rsidRPr="00982127">
              <w:rPr>
                <w:rFonts w:ascii="Arial" w:hAnsi="Arial" w:cs="Arial"/>
                <w:color w:val="000000"/>
                <w:sz w:val="14"/>
                <w:szCs w:val="14"/>
              </w:rPr>
              <w:t>Canada (excl. territories)</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6.2%</w:t>
            </w:r>
          </w:p>
        </w:tc>
        <w:tc>
          <w:tcPr>
            <w:tcW w:w="792"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78.5%</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2.8%</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2.7%</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720" w:type="dxa"/>
            <w:tcBorders>
              <w:top w:val="nil"/>
              <w:left w:val="nil"/>
              <w:bottom w:val="single" w:sz="12" w:space="0" w:color="auto"/>
              <w:right w:val="nil"/>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1.6%</w:t>
            </w:r>
          </w:p>
        </w:tc>
        <w:tc>
          <w:tcPr>
            <w:tcW w:w="720" w:type="dxa"/>
            <w:tcBorders>
              <w:top w:val="nil"/>
              <w:left w:val="single" w:sz="12" w:space="0" w:color="auto"/>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1.3%</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1.1%</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81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2.5%</w:t>
            </w:r>
          </w:p>
        </w:tc>
        <w:tc>
          <w:tcPr>
            <w:tcW w:w="648"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0.6%</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1.2%</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0.1%</w:t>
            </w:r>
          </w:p>
        </w:tc>
        <w:tc>
          <w:tcPr>
            <w:tcW w:w="720" w:type="dxa"/>
            <w:tcBorders>
              <w:top w:val="nil"/>
              <w:left w:val="nil"/>
              <w:bottom w:val="single" w:sz="12" w:space="0" w:color="auto"/>
              <w:right w:val="single" w:sz="4"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0.3%</w:t>
            </w:r>
          </w:p>
        </w:tc>
        <w:tc>
          <w:tcPr>
            <w:tcW w:w="810" w:type="dxa"/>
            <w:tcBorders>
              <w:top w:val="nil"/>
              <w:left w:val="nil"/>
              <w:bottom w:val="single" w:sz="12" w:space="0" w:color="auto"/>
              <w:right w:val="single" w:sz="12" w:space="0" w:color="auto"/>
            </w:tcBorders>
            <w:shd w:val="clear" w:color="auto" w:fill="auto"/>
            <w:noWrap/>
            <w:vAlign w:val="center"/>
          </w:tcPr>
          <w:p w:rsidR="00F57448" w:rsidRPr="00982127" w:rsidRDefault="00F57448" w:rsidP="00382CC0">
            <w:pPr>
              <w:spacing w:after="0" w:line="240" w:lineRule="auto"/>
              <w:jc w:val="right"/>
              <w:rPr>
                <w:rFonts w:ascii="Arial" w:hAnsi="Arial" w:cs="Arial"/>
                <w:color w:val="000000"/>
                <w:sz w:val="14"/>
                <w:szCs w:val="14"/>
              </w:rPr>
            </w:pPr>
            <w:r w:rsidRPr="00982127">
              <w:rPr>
                <w:rFonts w:ascii="Arial" w:hAnsi="Arial" w:cs="Arial"/>
                <w:color w:val="000000"/>
                <w:sz w:val="14"/>
                <w:szCs w:val="14"/>
              </w:rPr>
              <w:t>0.4%</w:t>
            </w:r>
          </w:p>
        </w:tc>
        <w:tc>
          <w:tcPr>
            <w:tcW w:w="810" w:type="dxa"/>
            <w:tcBorders>
              <w:top w:val="nil"/>
              <w:left w:val="nil"/>
              <w:bottom w:val="single" w:sz="12" w:space="0" w:color="auto"/>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92.3%</w:t>
            </w:r>
          </w:p>
        </w:tc>
        <w:tc>
          <w:tcPr>
            <w:tcW w:w="810" w:type="dxa"/>
            <w:tcBorders>
              <w:top w:val="nil"/>
              <w:left w:val="single" w:sz="4" w:space="0" w:color="000000"/>
              <w:bottom w:val="single" w:sz="12" w:space="0" w:color="auto"/>
              <w:right w:val="nil"/>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7.7%</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F57448" w:rsidRPr="00982127" w:rsidRDefault="00F57448" w:rsidP="00382CC0">
            <w:pPr>
              <w:spacing w:after="0" w:line="240" w:lineRule="auto"/>
              <w:jc w:val="right"/>
              <w:rPr>
                <w:rFonts w:ascii="Arial" w:hAnsi="Arial" w:cs="Arial"/>
                <w:b/>
                <w:bCs/>
                <w:color w:val="000000"/>
                <w:sz w:val="14"/>
                <w:szCs w:val="14"/>
              </w:rPr>
            </w:pPr>
            <w:r w:rsidRPr="00982127">
              <w:rPr>
                <w:rFonts w:ascii="Arial" w:hAnsi="Arial" w:cs="Arial"/>
                <w:b/>
                <w:bCs/>
                <w:color w:val="000000"/>
                <w:sz w:val="14"/>
                <w:szCs w:val="14"/>
              </w:rPr>
              <w:t>100.0%</w:t>
            </w:r>
          </w:p>
        </w:tc>
      </w:tr>
    </w:tbl>
    <w:p w:rsidR="00151746" w:rsidRDefault="00F57448" w:rsidP="00151746">
      <w:pPr>
        <w:rPr>
          <w:rFonts w:ascii="Arial" w:hAnsi="Arial" w:cs="Arial"/>
          <w:sz w:val="14"/>
          <w:szCs w:val="14"/>
        </w:rPr>
      </w:pPr>
      <w:r w:rsidRPr="003B2090">
        <w:rPr>
          <w:rFonts w:ascii="Arial" w:hAnsi="Arial" w:cs="Arial"/>
          <w:sz w:val="14"/>
          <w:szCs w:val="14"/>
        </w:rPr>
        <w:t>* All children younger than 25 years</w:t>
      </w:r>
      <w:r w:rsidR="00151746">
        <w:rPr>
          <w:rFonts w:ascii="Arial" w:hAnsi="Arial" w:cs="Arial"/>
          <w:sz w:val="14"/>
          <w:szCs w:val="14"/>
        </w:rPr>
        <w:t>. F – Sample size too small for data to be reliable.</w:t>
      </w:r>
    </w:p>
    <w:p w:rsidR="00F57448" w:rsidRDefault="00F57448" w:rsidP="006829FF">
      <w:pPr>
        <w:spacing w:after="0" w:line="240" w:lineRule="auto"/>
        <w:rPr>
          <w:rFonts w:ascii="Arial" w:hAnsi="Arial" w:cs="Arial"/>
          <w:sz w:val="14"/>
          <w:szCs w:val="14"/>
        </w:rPr>
      </w:pPr>
    </w:p>
    <w:p w:rsidR="00F57448" w:rsidRPr="00880020" w:rsidRDefault="00F57448" w:rsidP="00F57448">
      <w:pPr>
        <w:rPr>
          <w:rFonts w:ascii="Arial" w:hAnsi="Arial" w:cs="Arial"/>
          <w:sz w:val="14"/>
          <w:szCs w:val="14"/>
        </w:rPr>
      </w:pPr>
    </w:p>
    <w:tbl>
      <w:tblPr>
        <w:tblW w:w="14868" w:type="dxa"/>
        <w:tblLayout w:type="fixed"/>
        <w:tblLook w:val="04A0" w:firstRow="1" w:lastRow="0" w:firstColumn="1" w:lastColumn="0" w:noHBand="0" w:noVBand="1"/>
      </w:tblPr>
      <w:tblGrid>
        <w:gridCol w:w="1098"/>
        <w:gridCol w:w="810"/>
        <w:gridCol w:w="792"/>
        <w:gridCol w:w="810"/>
        <w:gridCol w:w="810"/>
        <w:gridCol w:w="810"/>
        <w:gridCol w:w="720"/>
        <w:gridCol w:w="720"/>
        <w:gridCol w:w="720"/>
        <w:gridCol w:w="828"/>
        <w:gridCol w:w="702"/>
        <w:gridCol w:w="648"/>
        <w:gridCol w:w="720"/>
        <w:gridCol w:w="720"/>
        <w:gridCol w:w="720"/>
        <w:gridCol w:w="810"/>
        <w:gridCol w:w="810"/>
        <w:gridCol w:w="810"/>
        <w:gridCol w:w="810"/>
      </w:tblGrid>
      <w:tr w:rsidR="00E46B55" w:rsidRPr="00880020" w:rsidTr="00E46B55">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E46B55" w:rsidRPr="00880020" w:rsidRDefault="00E46B55" w:rsidP="00E46B55">
            <w:pPr>
              <w:spacing w:after="0" w:line="240" w:lineRule="auto"/>
              <w:rPr>
                <w:rFonts w:ascii="Arial" w:eastAsia="Times New Roman" w:hAnsi="Arial" w:cs="Arial"/>
                <w:b/>
                <w:bCs/>
                <w:color w:val="000000"/>
                <w:sz w:val="14"/>
                <w:szCs w:val="14"/>
              </w:rPr>
            </w:pPr>
            <w:r>
              <w:rPr>
                <w:rFonts w:ascii="Arial" w:eastAsia="Times New Roman" w:hAnsi="Arial" w:cs="Arial"/>
                <w:b/>
                <w:bCs/>
                <w:color w:val="000000"/>
                <w:sz w:val="14"/>
                <w:szCs w:val="14"/>
              </w:rPr>
              <w:t>Table A3a</w:t>
            </w:r>
            <w:r w:rsidRPr="00880020">
              <w:rPr>
                <w:rFonts w:ascii="Arial" w:eastAsia="Times New Roman" w:hAnsi="Arial" w:cs="Arial"/>
                <w:b/>
                <w:bCs/>
                <w:color w:val="000000"/>
                <w:sz w:val="14"/>
                <w:szCs w:val="14"/>
              </w:rPr>
              <w:t>. Market income and government transfer income of low-income</w:t>
            </w:r>
            <w:r>
              <w:rPr>
                <w:rFonts w:ascii="Arial" w:eastAsia="Times New Roman" w:hAnsi="Arial" w:cs="Arial"/>
                <w:b/>
                <w:bCs/>
                <w:color w:val="000000"/>
                <w:sz w:val="14"/>
                <w:szCs w:val="14"/>
              </w:rPr>
              <w:t xml:space="preserve"> adults (16 years+) with disabilities, by gender and age group </w:t>
            </w:r>
            <w:r w:rsidRPr="00880020">
              <w:rPr>
                <w:rFonts w:ascii="Arial" w:eastAsia="Times New Roman" w:hAnsi="Arial" w:cs="Arial"/>
                <w:b/>
                <w:bCs/>
                <w:color w:val="000000"/>
                <w:sz w:val="14"/>
                <w:szCs w:val="14"/>
              </w:rPr>
              <w:t>(Source: SLID 2009 PUMF)</w:t>
            </w:r>
          </w:p>
        </w:tc>
      </w:tr>
      <w:tr w:rsidR="00E46B55" w:rsidRPr="00880020" w:rsidTr="00E46B55">
        <w:trPr>
          <w:trHeight w:val="20"/>
        </w:trPr>
        <w:tc>
          <w:tcPr>
            <w:tcW w:w="1098" w:type="dxa"/>
            <w:tcBorders>
              <w:top w:val="single" w:sz="12" w:space="0" w:color="auto"/>
              <w:left w:val="single" w:sz="12" w:space="0" w:color="000000"/>
              <w:bottom w:val="nil"/>
              <w:right w:val="single" w:sz="12" w:space="0" w:color="000000"/>
            </w:tcBorders>
            <w:shd w:val="clear" w:color="auto" w:fill="auto"/>
            <w:noWrap/>
            <w:vAlign w:val="bottom"/>
            <w:hideMark/>
          </w:tcPr>
          <w:p w:rsidR="00E46B55" w:rsidRPr="00880020" w:rsidRDefault="00E46B55" w:rsidP="00E46B55">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75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E46B55" w:rsidRPr="00880020" w:rsidTr="00E46B55">
        <w:trPr>
          <w:trHeight w:val="20"/>
        </w:trPr>
        <w:tc>
          <w:tcPr>
            <w:tcW w:w="1098" w:type="dxa"/>
            <w:tcBorders>
              <w:top w:val="nil"/>
              <w:left w:val="single" w:sz="12"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82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70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183B54" w:rsidP="00E46B55">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E46B55"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E46B55" w:rsidRPr="00880020" w:rsidTr="00E46B55">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E46B55" w:rsidRPr="00CB3451" w:rsidRDefault="00E46B55" w:rsidP="00E46B55">
            <w:pPr>
              <w:spacing w:after="0" w:line="240" w:lineRule="auto"/>
              <w:jc w:val="both"/>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Low income </w:t>
            </w:r>
            <w:r>
              <w:rPr>
                <w:rFonts w:ascii="Arial" w:eastAsia="Times New Roman" w:hAnsi="Arial" w:cs="Arial"/>
                <w:b/>
                <w:bCs/>
                <w:color w:val="000000"/>
                <w:sz w:val="14"/>
                <w:szCs w:val="14"/>
              </w:rPr>
              <w:t>adults</w:t>
            </w:r>
            <w:r w:rsidRPr="00880020">
              <w:rPr>
                <w:rFonts w:ascii="Arial" w:eastAsia="Times New Roman" w:hAnsi="Arial" w:cs="Arial"/>
                <w:b/>
                <w:bCs/>
                <w:color w:val="000000"/>
                <w:sz w:val="14"/>
                <w:szCs w:val="14"/>
              </w:rPr>
              <w:t xml:space="preserve"> with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2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02"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E46B55" w:rsidRPr="00880020" w:rsidTr="00E46B55">
        <w:trPr>
          <w:trHeight w:val="20"/>
        </w:trPr>
        <w:tc>
          <w:tcPr>
            <w:tcW w:w="1098" w:type="dxa"/>
            <w:tcBorders>
              <w:top w:val="single" w:sz="12" w:space="0" w:color="auto"/>
              <w:left w:val="single" w:sz="12" w:space="0" w:color="000000"/>
              <w:bottom w:val="nil"/>
              <w:right w:val="single" w:sz="12" w:space="0" w:color="000000"/>
            </w:tcBorders>
            <w:shd w:val="clear" w:color="auto" w:fill="auto"/>
            <w:vAlign w:val="bottom"/>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2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0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$1,284</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$5,621</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$344</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$654</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$1,451</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$288</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$285</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$114</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$7,263</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$2,831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$10,095</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$601</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$2,715</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$288</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$42</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$114</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$76</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$372</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$530</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$176</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$3,548</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$85</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$264</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$114</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$3,794</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$5,165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$8,958</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($435)</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$926</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$98</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$1,498</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$132</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$621</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$519</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$169</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$3,308</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$64</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$312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$138</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$2,088</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$5,262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$7,350</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($126)</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$735</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$761</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$464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$56</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$42</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$2,534</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$301</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$189</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$508</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$3,486</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$327</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$197</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$1,897</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$7,600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$9,497</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($1,088)</w:t>
            </w:r>
          </w:p>
        </w:tc>
        <w:tc>
          <w:tcPr>
            <w:tcW w:w="79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$41</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$908</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$547</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$70</w:t>
            </w:r>
          </w:p>
        </w:tc>
        <w:tc>
          <w:tcPr>
            <w:tcW w:w="720" w:type="dxa"/>
            <w:tcBorders>
              <w:top w:val="nil"/>
              <w:left w:val="single" w:sz="12" w:space="0" w:color="000000"/>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$29</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$3,169</w:t>
            </w:r>
          </w:p>
        </w:tc>
        <w:tc>
          <w:tcPr>
            <w:tcW w:w="82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$9,135</w:t>
            </w:r>
          </w:p>
        </w:tc>
        <w:tc>
          <w:tcPr>
            <w:tcW w:w="70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w:t>
            </w:r>
          </w:p>
        </w:tc>
        <w:tc>
          <w:tcPr>
            <w:tcW w:w="64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$188</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$334</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$559</w:t>
            </w:r>
          </w:p>
        </w:tc>
        <w:tc>
          <w:tcPr>
            <w:tcW w:w="81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$478</w:t>
            </w:r>
          </w:p>
        </w:tc>
        <w:tc>
          <w:tcPr>
            <w:tcW w:w="810" w:type="dxa"/>
            <w:tcBorders>
              <w:top w:val="nil"/>
              <w:left w:val="single" w:sz="4" w:space="0" w:color="000000"/>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$13,439</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$13,917</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$189</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$2,215</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$262</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$503</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$1,098</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$668</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$432</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$215</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$2,788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$101</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$302</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$170</w:t>
            </w:r>
          </w:p>
        </w:tc>
        <w:tc>
          <w:tcPr>
            <w:tcW w:w="81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$3,420</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$5,836</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$9,256</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($18)</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$4,377</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$61</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$399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$1,853</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$223</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$49</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$2,417</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$182</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$303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$513</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$4,830</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$5,542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$10,371</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$745</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$3,252</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$133</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$251</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$151</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$4,690</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$143</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$735</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$4,941</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$122</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$431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$540</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$4,533</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$11,612</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$16,145</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$2,013</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$430</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$1,310</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$1,493</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$177</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$154</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$5,674</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$77</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$345</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$172</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$2,660</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$9,402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$12,063</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$214</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$1,329</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$188</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$586</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$65</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$459</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$138</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$1,425</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$198</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$127</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$83</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$4,009</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$49</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$242</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$165</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$2,841</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$6,434</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$9,275</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($44)</w:t>
            </w:r>
          </w:p>
        </w:tc>
        <w:tc>
          <w:tcPr>
            <w:tcW w:w="79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$400</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$147</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$29</w:t>
            </w:r>
          </w:p>
        </w:tc>
        <w:tc>
          <w:tcPr>
            <w:tcW w:w="720" w:type="dxa"/>
            <w:tcBorders>
              <w:top w:val="nil"/>
              <w:left w:val="single" w:sz="12" w:space="0" w:color="000000"/>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$87</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$2,657</w:t>
            </w:r>
          </w:p>
        </w:tc>
        <w:tc>
          <w:tcPr>
            <w:tcW w:w="82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$10,494</w:t>
            </w:r>
          </w:p>
        </w:tc>
        <w:tc>
          <w:tcPr>
            <w:tcW w:w="70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$69</w:t>
            </w:r>
          </w:p>
        </w:tc>
        <w:tc>
          <w:tcPr>
            <w:tcW w:w="64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$214</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$226</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$363</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$551</w:t>
            </w:r>
          </w:p>
        </w:tc>
        <w:tc>
          <w:tcPr>
            <w:tcW w:w="81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$552</w:t>
            </w:r>
          </w:p>
        </w:tc>
        <w:tc>
          <w:tcPr>
            <w:tcW w:w="810" w:type="dxa"/>
            <w:tcBorders>
              <w:top w:val="nil"/>
              <w:left w:val="single" w:sz="4" w:space="0" w:color="000000"/>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$14,662</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$15,214</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$188</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$2,095</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$120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$218</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$165</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$252</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$1,496</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$1,186</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$1,890</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$255</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$3,612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$82</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$330</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$360</w:t>
            </w:r>
          </w:p>
        </w:tc>
        <w:tc>
          <w:tcPr>
            <w:tcW w:w="81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$3,038</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$9,312</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$12,350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 </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$693</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$5,057</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$28</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$369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$840</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$12</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$459</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$32</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$1,889</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$240</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$293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$295</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$6,160</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$4,060</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$10,220</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$675</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$2,991</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$208</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$149</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$133</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$2,442</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$254</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$635</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$91</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$4,262</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$104</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$350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$332</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$4,173</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$8,470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$12,643</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($217)</w:t>
            </w:r>
          </w:p>
        </w:tc>
        <w:tc>
          <w:tcPr>
            <w:tcW w:w="79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$1,449</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$75</w:t>
            </w:r>
          </w:p>
        </w:tc>
        <w:tc>
          <w:tcPr>
            <w:tcW w:w="81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$207</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$849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$699</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$1,041</w:t>
            </w:r>
          </w:p>
        </w:tc>
        <w:tc>
          <w:tcPr>
            <w:tcW w:w="82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$354</w:t>
            </w:r>
          </w:p>
        </w:tc>
        <w:tc>
          <w:tcPr>
            <w:tcW w:w="648"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$162</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$4,447</w:t>
            </w:r>
          </w:p>
        </w:tc>
        <w:tc>
          <w:tcPr>
            <w:tcW w:w="720" w:type="dxa"/>
            <w:tcBorders>
              <w:top w:val="nil"/>
              <w:left w:val="nil"/>
              <w:bottom w:val="nil"/>
              <w:right w:val="single" w:sz="4"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$70</w:t>
            </w:r>
          </w:p>
        </w:tc>
        <w:tc>
          <w:tcPr>
            <w:tcW w:w="72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$328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$154</w:t>
            </w:r>
          </w:p>
        </w:tc>
        <w:tc>
          <w:tcPr>
            <w:tcW w:w="810" w:type="dxa"/>
            <w:tcBorders>
              <w:top w:val="nil"/>
              <w:left w:val="nil"/>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$2,363</w:t>
            </w:r>
          </w:p>
        </w:tc>
        <w:tc>
          <w:tcPr>
            <w:tcW w:w="810" w:type="dxa"/>
            <w:tcBorders>
              <w:top w:val="nil"/>
              <w:left w:val="single" w:sz="4" w:space="0" w:color="000000"/>
              <w:bottom w:val="nil"/>
              <w:right w:val="nil"/>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$7,256</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$9,619</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$57</w:t>
            </w:r>
          </w:p>
        </w:tc>
        <w:tc>
          <w:tcPr>
            <w:tcW w:w="79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$1,054</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$453</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$530</w:t>
            </w:r>
          </w:p>
        </w:tc>
        <w:tc>
          <w:tcPr>
            <w:tcW w:w="81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$38</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$272</w:t>
            </w:r>
          </w:p>
        </w:tc>
        <w:tc>
          <w:tcPr>
            <w:tcW w:w="720" w:type="dxa"/>
            <w:tcBorders>
              <w:top w:val="nil"/>
              <w:left w:val="single" w:sz="12" w:space="0" w:color="000000"/>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$94</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$1,938</w:t>
            </w:r>
          </w:p>
        </w:tc>
        <w:tc>
          <w:tcPr>
            <w:tcW w:w="82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$246</w:t>
            </w:r>
          </w:p>
        </w:tc>
        <w:tc>
          <w:tcPr>
            <w:tcW w:w="702"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$156</w:t>
            </w:r>
          </w:p>
        </w:tc>
        <w:tc>
          <w:tcPr>
            <w:tcW w:w="648"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$279</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$3,767</w:t>
            </w:r>
          </w:p>
        </w:tc>
        <w:tc>
          <w:tcPr>
            <w:tcW w:w="720" w:type="dxa"/>
            <w:tcBorders>
              <w:top w:val="nil"/>
              <w:left w:val="nil"/>
              <w:bottom w:val="nil"/>
              <w:right w:val="single" w:sz="4"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w:t>
            </w:r>
          </w:p>
        </w:tc>
        <w:tc>
          <w:tcPr>
            <w:tcW w:w="72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$281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$180</w:t>
            </w:r>
          </w:p>
        </w:tc>
        <w:tc>
          <w:tcPr>
            <w:tcW w:w="810" w:type="dxa"/>
            <w:tcBorders>
              <w:top w:val="nil"/>
              <w:left w:val="nil"/>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$2,404</w:t>
            </w:r>
          </w:p>
        </w:tc>
        <w:tc>
          <w:tcPr>
            <w:tcW w:w="810" w:type="dxa"/>
            <w:tcBorders>
              <w:top w:val="nil"/>
              <w:left w:val="single" w:sz="4" w:space="0" w:color="000000"/>
              <w:bottom w:val="nil"/>
              <w:right w:val="nil"/>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$6,974</w:t>
            </w:r>
          </w:p>
        </w:tc>
        <w:tc>
          <w:tcPr>
            <w:tcW w:w="810" w:type="dxa"/>
            <w:tcBorders>
              <w:top w:val="nil"/>
              <w:left w:val="single" w:sz="4" w:space="0" w:color="000000"/>
              <w:bottom w:val="nil"/>
              <w:right w:val="single" w:sz="12" w:space="0" w:color="000000"/>
            </w:tcBorders>
            <w:shd w:val="clear" w:color="auto" w:fill="auto"/>
            <w:noWrap/>
            <w:vAlign w:val="center"/>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$9,378</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FF0000"/>
                <w:sz w:val="14"/>
                <w:szCs w:val="14"/>
              </w:rPr>
              <w:t>($301)</w:t>
            </w:r>
          </w:p>
        </w:tc>
        <w:tc>
          <w:tcPr>
            <w:tcW w:w="79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$525</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$246</w:t>
            </w:r>
          </w:p>
        </w:tc>
        <w:tc>
          <w:tcPr>
            <w:tcW w:w="81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$39</w:t>
            </w:r>
          </w:p>
        </w:tc>
        <w:tc>
          <w:tcPr>
            <w:tcW w:w="720" w:type="dxa"/>
            <w:tcBorders>
              <w:top w:val="nil"/>
              <w:left w:val="single" w:sz="12" w:space="0" w:color="000000"/>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$73</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$2,783</w:t>
            </w:r>
          </w:p>
        </w:tc>
        <w:tc>
          <w:tcPr>
            <w:tcW w:w="82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$10,159</w:t>
            </w:r>
          </w:p>
        </w:tc>
        <w:tc>
          <w:tcPr>
            <w:tcW w:w="702"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$53</w:t>
            </w:r>
          </w:p>
        </w:tc>
        <w:tc>
          <w:tcPr>
            <w:tcW w:w="648"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$167</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$217</w:t>
            </w:r>
          </w:p>
        </w:tc>
        <w:tc>
          <w:tcPr>
            <w:tcW w:w="720" w:type="dxa"/>
            <w:tcBorders>
              <w:top w:val="nil"/>
              <w:left w:val="nil"/>
              <w:right w:val="single" w:sz="4"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$356</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$553</w:t>
            </w:r>
          </w:p>
        </w:tc>
        <w:tc>
          <w:tcPr>
            <w:tcW w:w="810" w:type="dxa"/>
            <w:tcBorders>
              <w:top w:val="nil"/>
              <w:left w:val="nil"/>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$534</w:t>
            </w:r>
          </w:p>
        </w:tc>
        <w:tc>
          <w:tcPr>
            <w:tcW w:w="810" w:type="dxa"/>
            <w:tcBorders>
              <w:top w:val="nil"/>
              <w:left w:val="single" w:sz="4" w:space="0" w:color="000000"/>
              <w:right w:val="nil"/>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$14,361</w:t>
            </w:r>
          </w:p>
        </w:tc>
        <w:tc>
          <w:tcPr>
            <w:tcW w:w="810" w:type="dxa"/>
            <w:tcBorders>
              <w:top w:val="nil"/>
              <w:left w:val="single" w:sz="4" w:space="0" w:color="000000"/>
              <w:right w:val="single" w:sz="12" w:space="0" w:color="000000"/>
            </w:tcBorders>
            <w:shd w:val="clear" w:color="auto" w:fill="B6DDE8"/>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$14,895</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$188</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$2,151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$187</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$229</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$92</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$370</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$822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$1,145</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$1,316</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$338</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$155</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$3,225</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$91</w:t>
            </w:r>
          </w:p>
        </w:tc>
        <w:tc>
          <w:tcPr>
            <w:tcW w:w="72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$317</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color w:val="000000"/>
                <w:sz w:val="14"/>
                <w:szCs w:val="14"/>
              </w:rPr>
            </w:pPr>
            <w:r w:rsidRPr="001C24B8">
              <w:rPr>
                <w:rFonts w:ascii="Arial" w:hAnsi="Arial" w:cs="Arial"/>
                <w:color w:val="000000"/>
                <w:sz w:val="14"/>
                <w:szCs w:val="14"/>
              </w:rPr>
              <w:t>$271</w:t>
            </w:r>
          </w:p>
        </w:tc>
        <w:tc>
          <w:tcPr>
            <w:tcW w:w="810" w:type="dxa"/>
            <w:tcBorders>
              <w:top w:val="nil"/>
              <w:left w:val="nil"/>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$3,217</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$7,679</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1C24B8" w:rsidRDefault="00E46B55" w:rsidP="00E46B55">
            <w:pPr>
              <w:spacing w:after="0" w:line="240" w:lineRule="auto"/>
              <w:jc w:val="right"/>
              <w:rPr>
                <w:rFonts w:ascii="Arial" w:hAnsi="Arial" w:cs="Arial"/>
                <w:b/>
                <w:bCs/>
                <w:color w:val="000000"/>
                <w:sz w:val="14"/>
                <w:szCs w:val="14"/>
              </w:rPr>
            </w:pPr>
            <w:r w:rsidRPr="001C24B8">
              <w:rPr>
                <w:rFonts w:ascii="Arial" w:hAnsi="Arial" w:cs="Arial"/>
                <w:b/>
                <w:bCs/>
                <w:color w:val="000000"/>
                <w:sz w:val="14"/>
                <w:szCs w:val="14"/>
              </w:rPr>
              <w:t>$10,897</w:t>
            </w:r>
          </w:p>
        </w:tc>
      </w:tr>
      <w:tr w:rsidR="00E46B55" w:rsidRPr="00880020" w:rsidTr="00E46B55">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E46B55" w:rsidRPr="00880020" w:rsidRDefault="00E46B55" w:rsidP="00E46B55">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 xml:space="preserve">Low income </w:t>
            </w:r>
            <w:r>
              <w:rPr>
                <w:rFonts w:ascii="Arial" w:eastAsia="Times New Roman" w:hAnsi="Arial" w:cs="Arial"/>
                <w:b/>
                <w:bCs/>
                <w:color w:val="000000"/>
                <w:sz w:val="14"/>
                <w:szCs w:val="14"/>
              </w:rPr>
              <w:t>adults with</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28"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02"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r>
      <w:tr w:rsidR="00E46B55" w:rsidRPr="00880020" w:rsidTr="00E46B55">
        <w:trPr>
          <w:trHeight w:val="20"/>
        </w:trPr>
        <w:tc>
          <w:tcPr>
            <w:tcW w:w="1098" w:type="dxa"/>
            <w:tcBorders>
              <w:top w:val="single" w:sz="12" w:space="0" w:color="auto"/>
              <w:left w:val="single" w:sz="12" w:space="0" w:color="000000"/>
              <w:bottom w:val="nil"/>
              <w:right w:val="single" w:sz="12" w:space="0" w:color="000000"/>
            </w:tcBorders>
            <w:shd w:val="clear" w:color="auto" w:fill="auto"/>
            <w:vAlign w:val="bottom"/>
            <w:hideMark/>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92"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nil"/>
              <w:bottom w:val="nil"/>
              <w:right w:val="nil"/>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28"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02"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648"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720" w:type="dxa"/>
            <w:tcBorders>
              <w:top w:val="single" w:sz="12" w:space="0" w:color="auto"/>
              <w:left w:val="nil"/>
              <w:bottom w:val="nil"/>
              <w:right w:val="nil"/>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color w:val="000000"/>
                <w:sz w:val="14"/>
                <w:szCs w:val="14"/>
              </w:rPr>
            </w:pPr>
            <w:r w:rsidRPr="004005C2">
              <w:rPr>
                <w:rFonts w:ascii="Arial" w:hAnsi="Arial" w:cs="Arial"/>
                <w:color w:val="000000"/>
                <w:sz w:val="14"/>
                <w:szCs w:val="14"/>
              </w:rPr>
              <w:t> </w:t>
            </w:r>
          </w:p>
        </w:tc>
        <w:tc>
          <w:tcPr>
            <w:tcW w:w="810" w:type="dxa"/>
            <w:tcBorders>
              <w:top w:val="single" w:sz="12" w:space="0" w:color="auto"/>
              <w:left w:val="nil"/>
              <w:bottom w:val="nil"/>
              <w:right w:val="nil"/>
            </w:tcBorders>
            <w:shd w:val="clear" w:color="auto" w:fill="auto"/>
            <w:noWrap/>
            <w:vAlign w:val="bottom"/>
            <w:hideMark/>
          </w:tcPr>
          <w:p w:rsidR="00E46B55" w:rsidRPr="004005C2" w:rsidRDefault="00E46B55" w:rsidP="00E46B55">
            <w:pPr>
              <w:spacing w:after="0" w:line="240" w:lineRule="auto"/>
              <w:jc w:val="center"/>
              <w:rPr>
                <w:rFonts w:ascii="Arial" w:hAnsi="Arial" w:cs="Arial"/>
                <w:b/>
                <w:bCs/>
                <w:color w:val="000000"/>
                <w:sz w:val="14"/>
                <w:szCs w:val="14"/>
              </w:rPr>
            </w:pPr>
            <w:r w:rsidRPr="004005C2">
              <w:rPr>
                <w:rFonts w:ascii="Arial" w:hAnsi="Arial" w:cs="Arial"/>
                <w:b/>
                <w:bCs/>
                <w:color w:val="000000"/>
                <w:sz w:val="14"/>
                <w:szCs w:val="14"/>
              </w:rPr>
              <w:t> </w:t>
            </w:r>
          </w:p>
        </w:tc>
        <w:tc>
          <w:tcPr>
            <w:tcW w:w="810" w:type="dxa"/>
            <w:tcBorders>
              <w:top w:val="single" w:sz="12" w:space="0" w:color="auto"/>
              <w:left w:val="single" w:sz="4" w:space="0" w:color="000000"/>
              <w:bottom w:val="nil"/>
              <w:right w:val="nil"/>
            </w:tcBorders>
            <w:shd w:val="clear" w:color="auto" w:fill="auto"/>
            <w:noWrap/>
            <w:vAlign w:val="bottom"/>
            <w:hideMark/>
          </w:tcPr>
          <w:p w:rsidR="00E46B55" w:rsidRPr="004005C2" w:rsidRDefault="00E46B55" w:rsidP="00E46B55">
            <w:pPr>
              <w:spacing w:after="0" w:line="240" w:lineRule="auto"/>
              <w:jc w:val="center"/>
              <w:rPr>
                <w:rFonts w:ascii="Arial" w:hAnsi="Arial" w:cs="Arial"/>
                <w:b/>
                <w:bCs/>
                <w:color w:val="000000"/>
                <w:sz w:val="14"/>
                <w:szCs w:val="14"/>
              </w:rPr>
            </w:pPr>
            <w:r w:rsidRPr="004005C2">
              <w:rPr>
                <w:rFonts w:ascii="Arial" w:hAnsi="Arial" w:cs="Arial"/>
                <w:b/>
                <w:bCs/>
                <w:color w:val="000000"/>
                <w:sz w:val="14"/>
                <w:szCs w:val="14"/>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4005C2" w:rsidRDefault="00E46B55" w:rsidP="00E46B55">
            <w:pPr>
              <w:spacing w:after="0" w:line="240" w:lineRule="auto"/>
              <w:jc w:val="center"/>
              <w:rPr>
                <w:rFonts w:ascii="Arial" w:hAnsi="Arial" w:cs="Arial"/>
                <w:b/>
                <w:bCs/>
                <w:color w:val="000000"/>
                <w:sz w:val="14"/>
                <w:szCs w:val="14"/>
              </w:rPr>
            </w:pPr>
            <w:r w:rsidRPr="004005C2">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12.7%</w:t>
            </w:r>
          </w:p>
        </w:tc>
        <w:tc>
          <w:tcPr>
            <w:tcW w:w="792"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55.7%</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3.4%</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828"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6.5%</w:t>
            </w:r>
          </w:p>
        </w:tc>
        <w:tc>
          <w:tcPr>
            <w:tcW w:w="648"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14.4%</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72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2.8%</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w:t>
            </w:r>
          </w:p>
        </w:tc>
        <w:tc>
          <w:tcPr>
            <w:tcW w:w="81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72.0%</w:t>
            </w:r>
          </w:p>
        </w:tc>
        <w:tc>
          <w:tcPr>
            <w:tcW w:w="810" w:type="dxa"/>
            <w:tcBorders>
              <w:top w:val="nil"/>
              <w:left w:val="single" w:sz="4" w:space="0" w:color="000000"/>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28.0%</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6.7%</w:t>
            </w:r>
          </w:p>
        </w:tc>
        <w:tc>
          <w:tcPr>
            <w:tcW w:w="792"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30.3%</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72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1.3%</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4.2%</w:t>
            </w:r>
          </w:p>
        </w:tc>
        <w:tc>
          <w:tcPr>
            <w:tcW w:w="828"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5.9%</w:t>
            </w:r>
          </w:p>
        </w:tc>
        <w:tc>
          <w:tcPr>
            <w:tcW w:w="648"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39.6%</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0.9%</w:t>
            </w:r>
          </w:p>
        </w:tc>
        <w:tc>
          <w:tcPr>
            <w:tcW w:w="72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1.3%</w:t>
            </w:r>
          </w:p>
        </w:tc>
        <w:tc>
          <w:tcPr>
            <w:tcW w:w="81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42.3%</w:t>
            </w:r>
          </w:p>
        </w:tc>
        <w:tc>
          <w:tcPr>
            <w:tcW w:w="810" w:type="dxa"/>
            <w:tcBorders>
              <w:top w:val="nil"/>
              <w:left w:val="single" w:sz="4" w:space="0" w:color="000000"/>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57.7%</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(5.9%)</w:t>
            </w:r>
          </w:p>
        </w:tc>
        <w:tc>
          <w:tcPr>
            <w:tcW w:w="792"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12.6%</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1.3%</w:t>
            </w:r>
          </w:p>
        </w:tc>
        <w:tc>
          <w:tcPr>
            <w:tcW w:w="81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20.4%</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8.4%</w:t>
            </w:r>
          </w:p>
        </w:tc>
        <w:tc>
          <w:tcPr>
            <w:tcW w:w="828"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7.1%</w:t>
            </w:r>
          </w:p>
        </w:tc>
        <w:tc>
          <w:tcPr>
            <w:tcW w:w="648"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45.0%</w:t>
            </w:r>
          </w:p>
        </w:tc>
        <w:tc>
          <w:tcPr>
            <w:tcW w:w="720" w:type="dxa"/>
            <w:tcBorders>
              <w:top w:val="nil"/>
              <w:left w:val="nil"/>
              <w:bottom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0.9%</w:t>
            </w:r>
          </w:p>
        </w:tc>
        <w:tc>
          <w:tcPr>
            <w:tcW w:w="72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4.2%</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1.9%</w:t>
            </w:r>
          </w:p>
        </w:tc>
        <w:tc>
          <w:tcPr>
            <w:tcW w:w="810" w:type="dxa"/>
            <w:tcBorders>
              <w:top w:val="nil"/>
              <w:left w:val="nil"/>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28.4%</w:t>
            </w:r>
          </w:p>
        </w:tc>
        <w:tc>
          <w:tcPr>
            <w:tcW w:w="810" w:type="dxa"/>
            <w:tcBorders>
              <w:top w:val="nil"/>
              <w:left w:val="single" w:sz="4" w:space="0" w:color="000000"/>
              <w:bottom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71.6%</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(1.3%)</w:t>
            </w:r>
          </w:p>
        </w:tc>
        <w:tc>
          <w:tcPr>
            <w:tcW w:w="792"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7.7%</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8.0%</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4.9%</w:t>
            </w:r>
          </w:p>
        </w:tc>
        <w:tc>
          <w:tcPr>
            <w:tcW w:w="81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0.6%</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26.7%</w:t>
            </w:r>
          </w:p>
        </w:tc>
        <w:tc>
          <w:tcPr>
            <w:tcW w:w="828"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3.2%</w:t>
            </w:r>
          </w:p>
        </w:tc>
        <w:tc>
          <w:tcPr>
            <w:tcW w:w="702"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648"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5.3%</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36.7%</w:t>
            </w:r>
          </w:p>
        </w:tc>
        <w:tc>
          <w:tcPr>
            <w:tcW w:w="720" w:type="dxa"/>
            <w:tcBorders>
              <w:top w:val="nil"/>
              <w:left w:val="nil"/>
              <w:bottom w:val="nil"/>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72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3.4%</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2.1%</w:t>
            </w:r>
          </w:p>
        </w:tc>
        <w:tc>
          <w:tcPr>
            <w:tcW w:w="810" w:type="dxa"/>
            <w:tcBorders>
              <w:top w:val="nil"/>
              <w:left w:val="nil"/>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20.0%</w:t>
            </w:r>
          </w:p>
        </w:tc>
        <w:tc>
          <w:tcPr>
            <w:tcW w:w="810" w:type="dxa"/>
            <w:tcBorders>
              <w:top w:val="nil"/>
              <w:left w:val="single" w:sz="4" w:space="0" w:color="000000"/>
              <w:bottom w:val="nil"/>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80.0%</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(7.8%)</w:t>
            </w:r>
          </w:p>
        </w:tc>
        <w:tc>
          <w:tcPr>
            <w:tcW w:w="79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0.3%</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6.5%</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3.9%</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720" w:type="dxa"/>
            <w:tcBorders>
              <w:top w:val="nil"/>
              <w:left w:val="single" w:sz="12" w:space="0" w:color="000000"/>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22.8%</w:t>
            </w:r>
          </w:p>
        </w:tc>
        <w:tc>
          <w:tcPr>
            <w:tcW w:w="82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65.6%</w:t>
            </w:r>
          </w:p>
        </w:tc>
        <w:tc>
          <w:tcPr>
            <w:tcW w:w="70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64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2.4%</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4.0%</w:t>
            </w:r>
          </w:p>
        </w:tc>
        <w:tc>
          <w:tcPr>
            <w:tcW w:w="81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3.4%</w:t>
            </w:r>
          </w:p>
        </w:tc>
        <w:tc>
          <w:tcPr>
            <w:tcW w:w="810" w:type="dxa"/>
            <w:tcBorders>
              <w:top w:val="nil"/>
              <w:left w:val="single" w:sz="4" w:space="0" w:color="000000"/>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96.6%</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23.9%</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2.8%</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5.4%</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11.9%</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7.2%</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4.7%</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30.1%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w:t>
            </w:r>
          </w:p>
        </w:tc>
        <w:tc>
          <w:tcPr>
            <w:tcW w:w="81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36.9%</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63.1%</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81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c>
          <w:tcPr>
            <w:tcW w:w="810" w:type="dxa"/>
            <w:tcBorders>
              <w:top w:val="nil"/>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r>
      <w:tr w:rsidR="00E46B55" w:rsidRPr="00880020"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(0.2%)</w:t>
            </w:r>
          </w:p>
        </w:tc>
        <w:tc>
          <w:tcPr>
            <w:tcW w:w="792"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42.2%</w:t>
            </w:r>
          </w:p>
        </w:tc>
        <w:tc>
          <w:tcPr>
            <w:tcW w:w="81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1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0.6%</w:t>
            </w:r>
          </w:p>
        </w:tc>
        <w:tc>
          <w:tcPr>
            <w:tcW w:w="720" w:type="dxa"/>
            <w:tcBorders>
              <w:top w:val="nil"/>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3.9%</w:t>
            </w:r>
          </w:p>
        </w:tc>
        <w:tc>
          <w:tcPr>
            <w:tcW w:w="720" w:type="dxa"/>
            <w:tcBorders>
              <w:top w:val="nil"/>
              <w:left w:val="single" w:sz="12" w:space="0" w:color="000000"/>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17.9%</w:t>
            </w:r>
          </w:p>
        </w:tc>
        <w:tc>
          <w:tcPr>
            <w:tcW w:w="72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28"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2.2%</w:t>
            </w:r>
          </w:p>
        </w:tc>
        <w:tc>
          <w:tcPr>
            <w:tcW w:w="648"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72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23.3%</w:t>
            </w:r>
          </w:p>
        </w:tc>
        <w:tc>
          <w:tcPr>
            <w:tcW w:w="720" w:type="dxa"/>
            <w:tcBorders>
              <w:top w:val="nil"/>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w:t>
            </w:r>
          </w:p>
        </w:tc>
        <w:tc>
          <w:tcPr>
            <w:tcW w:w="720" w:type="dxa"/>
            <w:tcBorders>
              <w:top w:val="nil"/>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top w:val="nil"/>
              <w:left w:val="single" w:sz="4" w:space="0" w:color="000000"/>
              <w:right w:val="single" w:sz="12"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5.0%</w:t>
            </w:r>
          </w:p>
        </w:tc>
        <w:tc>
          <w:tcPr>
            <w:tcW w:w="810" w:type="dxa"/>
            <w:tcBorders>
              <w:top w:val="nil"/>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46.6%</w:t>
            </w:r>
          </w:p>
        </w:tc>
        <w:tc>
          <w:tcPr>
            <w:tcW w:w="810" w:type="dxa"/>
            <w:tcBorders>
              <w:top w:val="nil"/>
              <w:left w:val="single" w:sz="4" w:space="0" w:color="000000"/>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53.4%</w:t>
            </w:r>
          </w:p>
        </w:tc>
        <w:tc>
          <w:tcPr>
            <w:tcW w:w="810" w:type="dxa"/>
            <w:tcBorders>
              <w:top w:val="nil"/>
              <w:left w:val="single" w:sz="4" w:space="0" w:color="000000"/>
              <w:right w:val="single" w:sz="12"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top w:val="nil"/>
              <w:left w:val="single" w:sz="12" w:space="0" w:color="000000"/>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4.6%</w:t>
            </w:r>
          </w:p>
        </w:tc>
        <w:tc>
          <w:tcPr>
            <w:tcW w:w="792"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20.1%</w:t>
            </w:r>
          </w:p>
        </w:tc>
        <w:tc>
          <w:tcPr>
            <w:tcW w:w="81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81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1.6%</w:t>
            </w:r>
          </w:p>
        </w:tc>
        <w:tc>
          <w:tcPr>
            <w:tcW w:w="720" w:type="dxa"/>
            <w:tcBorders>
              <w:top w:val="nil"/>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0.9%</w:t>
            </w:r>
          </w:p>
        </w:tc>
        <w:tc>
          <w:tcPr>
            <w:tcW w:w="720" w:type="dxa"/>
            <w:tcBorders>
              <w:top w:val="nil"/>
              <w:left w:val="single" w:sz="12" w:space="0" w:color="000000"/>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29.1%</w:t>
            </w:r>
          </w:p>
        </w:tc>
        <w:tc>
          <w:tcPr>
            <w:tcW w:w="72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0.9%</w:t>
            </w:r>
          </w:p>
        </w:tc>
        <w:tc>
          <w:tcPr>
            <w:tcW w:w="828"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4.6%</w:t>
            </w:r>
          </w:p>
        </w:tc>
        <w:tc>
          <w:tcPr>
            <w:tcW w:w="648"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72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30.6%</w:t>
            </w:r>
          </w:p>
        </w:tc>
        <w:tc>
          <w:tcPr>
            <w:tcW w:w="720" w:type="dxa"/>
            <w:tcBorders>
              <w:top w:val="nil"/>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top w:val="nil"/>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2.7%</w:t>
            </w:r>
          </w:p>
        </w:tc>
        <w:tc>
          <w:tcPr>
            <w:tcW w:w="810" w:type="dxa"/>
            <w:tcBorders>
              <w:top w:val="nil"/>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3.3%</w:t>
            </w:r>
          </w:p>
        </w:tc>
        <w:tc>
          <w:tcPr>
            <w:tcW w:w="81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28.1%</w:t>
            </w:r>
          </w:p>
        </w:tc>
        <w:tc>
          <w:tcPr>
            <w:tcW w:w="810" w:type="dxa"/>
            <w:tcBorders>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71.9%</w:t>
            </w:r>
          </w:p>
        </w:tc>
        <w:tc>
          <w:tcPr>
            <w:tcW w:w="810" w:type="dxa"/>
            <w:tcBorders>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left w:val="single" w:sz="12" w:space="0" w:color="auto"/>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79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16.7%</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3.6%</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w:t>
            </w:r>
          </w:p>
        </w:tc>
        <w:tc>
          <w:tcPr>
            <w:tcW w:w="720" w:type="dxa"/>
            <w:tcBorders>
              <w:left w:val="single" w:sz="12" w:space="0" w:color="000000"/>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10.9%</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12.4%</w:t>
            </w:r>
          </w:p>
        </w:tc>
        <w:tc>
          <w:tcPr>
            <w:tcW w:w="82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w:t>
            </w:r>
          </w:p>
        </w:tc>
        <w:tc>
          <w:tcPr>
            <w:tcW w:w="64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1.3%</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47.0%</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0.6%</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left w:val="single" w:sz="4" w:space="0" w:color="000000"/>
              <w:right w:val="single" w:sz="12"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w:t>
            </w:r>
          </w:p>
        </w:tc>
        <w:tc>
          <w:tcPr>
            <w:tcW w:w="81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22.1%</w:t>
            </w:r>
          </w:p>
        </w:tc>
        <w:tc>
          <w:tcPr>
            <w:tcW w:w="810" w:type="dxa"/>
            <w:tcBorders>
              <w:left w:val="single" w:sz="4" w:space="0" w:color="000000"/>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77.9%</w:t>
            </w:r>
          </w:p>
        </w:tc>
        <w:tc>
          <w:tcPr>
            <w:tcW w:w="810" w:type="dxa"/>
            <w:tcBorders>
              <w:left w:val="single" w:sz="4" w:space="0" w:color="000000"/>
              <w:right w:val="single" w:sz="12" w:space="0" w:color="auto"/>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w:t>
            </w:r>
          </w:p>
        </w:tc>
        <w:tc>
          <w:tcPr>
            <w:tcW w:w="79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14.3%</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6.3%</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0.7%</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4.9%</w:t>
            </w:r>
          </w:p>
        </w:tc>
        <w:tc>
          <w:tcPr>
            <w:tcW w:w="720" w:type="dxa"/>
            <w:tcBorders>
              <w:left w:val="single" w:sz="12" w:space="0" w:color="000000"/>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15.4%</w:t>
            </w:r>
          </w:p>
        </w:tc>
        <w:tc>
          <w:tcPr>
            <w:tcW w:w="82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2.1%</w:t>
            </w:r>
          </w:p>
        </w:tc>
        <w:tc>
          <w:tcPr>
            <w:tcW w:w="70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w:t>
            </w:r>
          </w:p>
        </w:tc>
        <w:tc>
          <w:tcPr>
            <w:tcW w:w="64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0.9%</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43.2%</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w:t>
            </w:r>
          </w:p>
        </w:tc>
        <w:tc>
          <w:tcPr>
            <w:tcW w:w="810" w:type="dxa"/>
            <w:tcBorders>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w:t>
            </w:r>
          </w:p>
        </w:tc>
        <w:tc>
          <w:tcPr>
            <w:tcW w:w="81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30.6%</w:t>
            </w:r>
          </w:p>
        </w:tc>
        <w:tc>
          <w:tcPr>
            <w:tcW w:w="810" w:type="dxa"/>
            <w:tcBorders>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69.4%</w:t>
            </w:r>
          </w:p>
        </w:tc>
        <w:tc>
          <w:tcPr>
            <w:tcW w:w="810" w:type="dxa"/>
            <w:tcBorders>
              <w:left w:val="single" w:sz="4" w:space="0" w:color="000000"/>
              <w:right w:val="single" w:sz="12" w:space="0" w:color="auto"/>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(0.3%)</w:t>
            </w:r>
          </w:p>
        </w:tc>
        <w:tc>
          <w:tcPr>
            <w:tcW w:w="79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720" w:type="dxa"/>
            <w:tcBorders>
              <w:top w:val="nil"/>
              <w:left w:val="single" w:sz="12" w:space="0" w:color="000000"/>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0.6%</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17.5%</w:t>
            </w:r>
          </w:p>
        </w:tc>
        <w:tc>
          <w:tcPr>
            <w:tcW w:w="82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69.0%</w:t>
            </w:r>
          </w:p>
        </w:tc>
        <w:tc>
          <w:tcPr>
            <w:tcW w:w="70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64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2.4%</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3.6%</w:t>
            </w:r>
          </w:p>
        </w:tc>
        <w:tc>
          <w:tcPr>
            <w:tcW w:w="81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3.6%</w:t>
            </w:r>
          </w:p>
        </w:tc>
        <w:tc>
          <w:tcPr>
            <w:tcW w:w="810" w:type="dxa"/>
            <w:tcBorders>
              <w:top w:val="nil"/>
              <w:left w:val="single" w:sz="4" w:space="0" w:color="000000"/>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96.4%</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1.3%</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9.6%</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15.3%</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2.1%</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0.7%</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2.7%</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24.6%</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75.4%</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r>
      <w:tr w:rsidR="00E46B55" w:rsidRPr="00880020" w:rsidTr="00E46B55">
        <w:trPr>
          <w:trHeight w:val="20"/>
        </w:trPr>
        <w:tc>
          <w:tcPr>
            <w:tcW w:w="109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9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single" w:sz="12" w:space="0" w:color="000000"/>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2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0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64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 </w:t>
            </w:r>
          </w:p>
        </w:tc>
        <w:tc>
          <w:tcPr>
            <w:tcW w:w="81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p>
        </w:tc>
        <w:tc>
          <w:tcPr>
            <w:tcW w:w="810" w:type="dxa"/>
            <w:tcBorders>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c>
          <w:tcPr>
            <w:tcW w:w="810" w:type="dxa"/>
            <w:tcBorders>
              <w:left w:val="single" w:sz="4" w:space="0" w:color="000000"/>
              <w:right w:val="single" w:sz="12" w:space="0" w:color="auto"/>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 </w:t>
            </w:r>
          </w:p>
        </w:tc>
      </w:tr>
      <w:tr w:rsidR="00E46B55" w:rsidRPr="00880020" w:rsidTr="00E46B55">
        <w:trPr>
          <w:trHeight w:val="20"/>
        </w:trPr>
        <w:tc>
          <w:tcPr>
            <w:tcW w:w="1098" w:type="dxa"/>
            <w:tcBorders>
              <w:left w:val="single" w:sz="12" w:space="0" w:color="auto"/>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6.8%</w:t>
            </w:r>
          </w:p>
        </w:tc>
        <w:tc>
          <w:tcPr>
            <w:tcW w:w="79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49.5%</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0.3%</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3.6%</w:t>
            </w:r>
          </w:p>
        </w:tc>
        <w:tc>
          <w:tcPr>
            <w:tcW w:w="720" w:type="dxa"/>
            <w:tcBorders>
              <w:left w:val="single" w:sz="12" w:space="0" w:color="000000"/>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8.2%</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2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4.5%</w:t>
            </w:r>
          </w:p>
        </w:tc>
        <w:tc>
          <w:tcPr>
            <w:tcW w:w="64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0.3%</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18.5%</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left w:val="single" w:sz="4" w:space="0" w:color="000000"/>
              <w:right w:val="single" w:sz="12"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60.3%</w:t>
            </w:r>
          </w:p>
        </w:tc>
        <w:tc>
          <w:tcPr>
            <w:tcW w:w="810" w:type="dxa"/>
            <w:tcBorders>
              <w:left w:val="single" w:sz="4" w:space="0" w:color="000000"/>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39.7%</w:t>
            </w:r>
          </w:p>
        </w:tc>
        <w:tc>
          <w:tcPr>
            <w:tcW w:w="810" w:type="dxa"/>
            <w:tcBorders>
              <w:left w:val="single" w:sz="4" w:space="0" w:color="000000"/>
              <w:right w:val="single" w:sz="12" w:space="0" w:color="auto"/>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5.3%</w:t>
            </w:r>
          </w:p>
        </w:tc>
        <w:tc>
          <w:tcPr>
            <w:tcW w:w="79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23.7%</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0.1%</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1.6%</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w:t>
            </w:r>
          </w:p>
        </w:tc>
        <w:tc>
          <w:tcPr>
            <w:tcW w:w="720" w:type="dxa"/>
            <w:tcBorders>
              <w:left w:val="single" w:sz="12" w:space="0" w:color="000000"/>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19.3%</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w:t>
            </w:r>
          </w:p>
        </w:tc>
        <w:tc>
          <w:tcPr>
            <w:tcW w:w="82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5.0%</w:t>
            </w:r>
          </w:p>
        </w:tc>
        <w:tc>
          <w:tcPr>
            <w:tcW w:w="64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0.7%</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33.7%</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2.8%</w:t>
            </w:r>
          </w:p>
        </w:tc>
        <w:tc>
          <w:tcPr>
            <w:tcW w:w="810" w:type="dxa"/>
            <w:tcBorders>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w:t>
            </w:r>
          </w:p>
        </w:tc>
        <w:tc>
          <w:tcPr>
            <w:tcW w:w="81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33.0%</w:t>
            </w:r>
          </w:p>
        </w:tc>
        <w:tc>
          <w:tcPr>
            <w:tcW w:w="810" w:type="dxa"/>
            <w:tcBorders>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67.0%</w:t>
            </w:r>
          </w:p>
        </w:tc>
        <w:tc>
          <w:tcPr>
            <w:tcW w:w="810" w:type="dxa"/>
            <w:tcBorders>
              <w:left w:val="single" w:sz="4" w:space="0" w:color="000000"/>
              <w:right w:val="single" w:sz="12" w:space="0" w:color="auto"/>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left w:val="single" w:sz="12" w:space="0" w:color="auto"/>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(2.3%)</w:t>
            </w:r>
          </w:p>
        </w:tc>
        <w:tc>
          <w:tcPr>
            <w:tcW w:w="79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15.1%</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81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2.2%</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8.8%</w:t>
            </w:r>
          </w:p>
        </w:tc>
        <w:tc>
          <w:tcPr>
            <w:tcW w:w="720" w:type="dxa"/>
            <w:tcBorders>
              <w:left w:val="single" w:sz="12" w:space="0" w:color="000000"/>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7.3%</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10.8%</w:t>
            </w:r>
          </w:p>
        </w:tc>
        <w:tc>
          <w:tcPr>
            <w:tcW w:w="82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3.7%</w:t>
            </w:r>
          </w:p>
        </w:tc>
        <w:tc>
          <w:tcPr>
            <w:tcW w:w="648"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46.2%</w:t>
            </w:r>
          </w:p>
        </w:tc>
        <w:tc>
          <w:tcPr>
            <w:tcW w:w="720" w:type="dxa"/>
            <w:tcBorders>
              <w:left w:val="nil"/>
              <w:right w:val="single" w:sz="4"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0.7%</w:t>
            </w:r>
          </w:p>
        </w:tc>
        <w:tc>
          <w:tcPr>
            <w:tcW w:w="72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3.4%</w:t>
            </w:r>
          </w:p>
        </w:tc>
        <w:tc>
          <w:tcPr>
            <w:tcW w:w="810" w:type="dxa"/>
            <w:tcBorders>
              <w:left w:val="single" w:sz="4" w:space="0" w:color="000000"/>
              <w:right w:val="single" w:sz="12" w:space="0" w:color="000000"/>
            </w:tcBorders>
            <w:shd w:val="clear" w:color="auto" w:fill="B6DDE8"/>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1.6%</w:t>
            </w:r>
          </w:p>
        </w:tc>
        <w:tc>
          <w:tcPr>
            <w:tcW w:w="810" w:type="dxa"/>
            <w:tcBorders>
              <w:left w:val="nil"/>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24.6%</w:t>
            </w:r>
          </w:p>
        </w:tc>
        <w:tc>
          <w:tcPr>
            <w:tcW w:w="810" w:type="dxa"/>
            <w:tcBorders>
              <w:left w:val="single" w:sz="4" w:space="0" w:color="000000"/>
              <w:right w:val="nil"/>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75.4%</w:t>
            </w:r>
          </w:p>
        </w:tc>
        <w:tc>
          <w:tcPr>
            <w:tcW w:w="810" w:type="dxa"/>
            <w:tcBorders>
              <w:left w:val="single" w:sz="4" w:space="0" w:color="000000"/>
              <w:right w:val="single" w:sz="12" w:space="0" w:color="auto"/>
            </w:tcBorders>
            <w:shd w:val="clear" w:color="auto" w:fill="B6DDE8"/>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880020" w:rsidTr="00E46B55">
        <w:trPr>
          <w:trHeight w:val="20"/>
        </w:trPr>
        <w:tc>
          <w:tcPr>
            <w:tcW w:w="109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0.6%</w:t>
            </w:r>
          </w:p>
        </w:tc>
        <w:tc>
          <w:tcPr>
            <w:tcW w:w="79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11.2%</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4.8%</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5.7%</w:t>
            </w:r>
          </w:p>
        </w:tc>
        <w:tc>
          <w:tcPr>
            <w:tcW w:w="81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720" w:type="dxa"/>
            <w:tcBorders>
              <w:left w:val="single" w:sz="12" w:space="0" w:color="000000"/>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20.7%</w:t>
            </w:r>
          </w:p>
        </w:tc>
        <w:tc>
          <w:tcPr>
            <w:tcW w:w="82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2.6%</w:t>
            </w:r>
          </w:p>
        </w:tc>
        <w:tc>
          <w:tcPr>
            <w:tcW w:w="702"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w:t>
            </w:r>
          </w:p>
        </w:tc>
        <w:tc>
          <w:tcPr>
            <w:tcW w:w="648"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3.0%</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40.2%</w:t>
            </w:r>
          </w:p>
        </w:tc>
        <w:tc>
          <w:tcPr>
            <w:tcW w:w="720" w:type="dxa"/>
            <w:tcBorders>
              <w:left w:val="nil"/>
              <w:right w:val="single" w:sz="4"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72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3.0%</w:t>
            </w:r>
          </w:p>
        </w:tc>
        <w:tc>
          <w:tcPr>
            <w:tcW w:w="810" w:type="dxa"/>
            <w:tcBorders>
              <w:left w:val="single" w:sz="4" w:space="0" w:color="000000"/>
              <w:right w:val="single" w:sz="12" w:space="0" w:color="000000"/>
            </w:tcBorders>
            <w:shd w:val="clear" w:color="auto" w:fill="auto"/>
            <w:noWrap/>
            <w:vAlign w:val="center"/>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1.9%</w:t>
            </w:r>
          </w:p>
        </w:tc>
        <w:tc>
          <w:tcPr>
            <w:tcW w:w="810" w:type="dxa"/>
            <w:tcBorders>
              <w:left w:val="nil"/>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25.6%</w:t>
            </w:r>
          </w:p>
        </w:tc>
        <w:tc>
          <w:tcPr>
            <w:tcW w:w="810" w:type="dxa"/>
            <w:tcBorders>
              <w:left w:val="single" w:sz="4" w:space="0" w:color="000000"/>
              <w:right w:val="nil"/>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74.4%</w:t>
            </w:r>
          </w:p>
        </w:tc>
        <w:tc>
          <w:tcPr>
            <w:tcW w:w="810" w:type="dxa"/>
            <w:tcBorders>
              <w:left w:val="single" w:sz="4" w:space="0" w:color="000000"/>
              <w:right w:val="single" w:sz="12" w:space="0" w:color="auto"/>
            </w:tcBorders>
            <w:shd w:val="clear" w:color="auto" w:fill="auto"/>
            <w:noWrap/>
            <w:vAlign w:val="center"/>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FF0000"/>
                <w:sz w:val="14"/>
                <w:szCs w:val="14"/>
              </w:rPr>
              <w:t>(2.0%)</w:t>
            </w:r>
          </w:p>
        </w:tc>
        <w:tc>
          <w:tcPr>
            <w:tcW w:w="79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0.2%</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3.5%</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1.6%</w:t>
            </w:r>
          </w:p>
        </w:tc>
        <w:tc>
          <w:tcPr>
            <w:tcW w:w="81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0.3%</w:t>
            </w:r>
          </w:p>
        </w:tc>
        <w:tc>
          <w:tcPr>
            <w:tcW w:w="720" w:type="dxa"/>
            <w:tcBorders>
              <w:top w:val="nil"/>
              <w:left w:val="single" w:sz="12" w:space="0" w:color="000000"/>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0.5%</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18.7%</w:t>
            </w:r>
          </w:p>
        </w:tc>
        <w:tc>
          <w:tcPr>
            <w:tcW w:w="82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68.2%</w:t>
            </w:r>
          </w:p>
        </w:tc>
        <w:tc>
          <w:tcPr>
            <w:tcW w:w="702"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0.4%</w:t>
            </w:r>
          </w:p>
        </w:tc>
        <w:tc>
          <w:tcPr>
            <w:tcW w:w="648"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1.1%</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1.5%</w:t>
            </w:r>
          </w:p>
        </w:tc>
        <w:tc>
          <w:tcPr>
            <w:tcW w:w="720" w:type="dxa"/>
            <w:tcBorders>
              <w:top w:val="nil"/>
              <w:left w:val="nil"/>
              <w:right w:val="single" w:sz="4"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2.4%</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3.7%</w:t>
            </w:r>
          </w:p>
        </w:tc>
        <w:tc>
          <w:tcPr>
            <w:tcW w:w="810" w:type="dxa"/>
            <w:tcBorders>
              <w:top w:val="nil"/>
              <w:left w:val="nil"/>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3.6%</w:t>
            </w:r>
          </w:p>
        </w:tc>
        <w:tc>
          <w:tcPr>
            <w:tcW w:w="810" w:type="dxa"/>
            <w:tcBorders>
              <w:top w:val="nil"/>
              <w:left w:val="single" w:sz="4" w:space="0" w:color="000000"/>
              <w:right w:val="nil"/>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96.4%</w:t>
            </w:r>
          </w:p>
        </w:tc>
        <w:tc>
          <w:tcPr>
            <w:tcW w:w="810" w:type="dxa"/>
            <w:tcBorders>
              <w:top w:val="nil"/>
              <w:left w:val="single" w:sz="4" w:space="0" w:color="000000"/>
              <w:right w:val="single" w:sz="12" w:space="0" w:color="000000"/>
            </w:tcBorders>
            <w:shd w:val="clear" w:color="auto" w:fill="B6DDE8"/>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r w:rsidR="00E46B55" w:rsidRPr="00017D27" w:rsidTr="00E46B55">
        <w:trPr>
          <w:trHeight w:val="20"/>
        </w:trPr>
        <w:tc>
          <w:tcPr>
            <w:tcW w:w="109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19.7%</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1.7%</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3.4%</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7.5%</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10.5%</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12.1%</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3.1%</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1.4%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29.6%</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0.8%</w:t>
            </w:r>
          </w:p>
        </w:tc>
        <w:tc>
          <w:tcPr>
            <w:tcW w:w="72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2.9%</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color w:val="000000"/>
                <w:sz w:val="14"/>
                <w:szCs w:val="14"/>
              </w:rPr>
            </w:pPr>
            <w:r w:rsidRPr="00070A94">
              <w:rPr>
                <w:rFonts w:ascii="Arial" w:hAnsi="Arial" w:cs="Arial"/>
                <w:color w:val="000000"/>
                <w:sz w:val="14"/>
                <w:szCs w:val="14"/>
              </w:rPr>
              <w:t>2.5%</w:t>
            </w:r>
          </w:p>
        </w:tc>
        <w:tc>
          <w:tcPr>
            <w:tcW w:w="810" w:type="dxa"/>
            <w:tcBorders>
              <w:top w:val="nil"/>
              <w:left w:val="nil"/>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29.5%</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70.5%</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070A94" w:rsidRDefault="00E46B55" w:rsidP="00E46B55">
            <w:pPr>
              <w:spacing w:after="0" w:line="240" w:lineRule="auto"/>
              <w:jc w:val="right"/>
              <w:rPr>
                <w:rFonts w:ascii="Arial" w:hAnsi="Arial" w:cs="Arial"/>
                <w:b/>
                <w:bCs/>
                <w:color w:val="000000"/>
                <w:sz w:val="14"/>
                <w:szCs w:val="14"/>
              </w:rPr>
            </w:pPr>
            <w:r w:rsidRPr="00070A94">
              <w:rPr>
                <w:rFonts w:ascii="Arial" w:hAnsi="Arial" w:cs="Arial"/>
                <w:b/>
                <w:bCs/>
                <w:color w:val="000000"/>
                <w:sz w:val="14"/>
                <w:szCs w:val="14"/>
              </w:rPr>
              <w:t>100.0%</w:t>
            </w:r>
          </w:p>
        </w:tc>
      </w:tr>
    </w:tbl>
    <w:p w:rsidR="00E46B55" w:rsidRDefault="00E46B55"/>
    <w:tbl>
      <w:tblPr>
        <w:tblW w:w="14868" w:type="dxa"/>
        <w:tblLayout w:type="fixed"/>
        <w:tblLook w:val="04A0" w:firstRow="1" w:lastRow="0" w:firstColumn="1" w:lastColumn="0" w:noHBand="0" w:noVBand="1"/>
      </w:tblPr>
      <w:tblGrid>
        <w:gridCol w:w="1188"/>
        <w:gridCol w:w="720"/>
        <w:gridCol w:w="792"/>
        <w:gridCol w:w="810"/>
        <w:gridCol w:w="810"/>
        <w:gridCol w:w="810"/>
        <w:gridCol w:w="720"/>
        <w:gridCol w:w="720"/>
        <w:gridCol w:w="720"/>
        <w:gridCol w:w="828"/>
        <w:gridCol w:w="702"/>
        <w:gridCol w:w="648"/>
        <w:gridCol w:w="720"/>
        <w:gridCol w:w="720"/>
        <w:gridCol w:w="720"/>
        <w:gridCol w:w="810"/>
        <w:gridCol w:w="810"/>
        <w:gridCol w:w="810"/>
        <w:gridCol w:w="810"/>
      </w:tblGrid>
      <w:tr w:rsidR="00E46B55" w:rsidRPr="00880020" w:rsidTr="00E46B55">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E46B55" w:rsidRPr="00880020" w:rsidRDefault="00E46B55" w:rsidP="00E46B55">
            <w:pPr>
              <w:spacing w:after="0" w:line="240" w:lineRule="auto"/>
              <w:rPr>
                <w:rFonts w:ascii="Arial" w:eastAsia="Times New Roman" w:hAnsi="Arial" w:cs="Arial"/>
                <w:b/>
                <w:bCs/>
                <w:color w:val="000000"/>
                <w:sz w:val="14"/>
                <w:szCs w:val="14"/>
              </w:rPr>
            </w:pPr>
            <w:r>
              <w:br w:type="page"/>
            </w:r>
            <w:r>
              <w:rPr>
                <w:rFonts w:ascii="Arial" w:eastAsia="Times New Roman" w:hAnsi="Arial" w:cs="Arial"/>
                <w:b/>
                <w:bCs/>
                <w:color w:val="000000"/>
                <w:sz w:val="14"/>
                <w:szCs w:val="14"/>
              </w:rPr>
              <w:t>Table A3b</w:t>
            </w:r>
            <w:r w:rsidRPr="00880020">
              <w:rPr>
                <w:rFonts w:ascii="Arial" w:eastAsia="Times New Roman" w:hAnsi="Arial" w:cs="Arial"/>
                <w:b/>
                <w:bCs/>
                <w:color w:val="000000"/>
                <w:sz w:val="14"/>
                <w:szCs w:val="14"/>
              </w:rPr>
              <w:t>. Market income and government transfer income of low-income</w:t>
            </w:r>
            <w:r>
              <w:rPr>
                <w:rFonts w:ascii="Arial" w:eastAsia="Times New Roman" w:hAnsi="Arial" w:cs="Arial"/>
                <w:b/>
                <w:bCs/>
                <w:color w:val="000000"/>
                <w:sz w:val="14"/>
                <w:szCs w:val="14"/>
              </w:rPr>
              <w:t xml:space="preserve"> adults (16 years+) without disabilities, by gender and age group </w:t>
            </w:r>
            <w:r w:rsidRPr="00880020">
              <w:rPr>
                <w:rFonts w:ascii="Arial" w:eastAsia="Times New Roman" w:hAnsi="Arial" w:cs="Arial"/>
                <w:b/>
                <w:bCs/>
                <w:color w:val="000000"/>
                <w:sz w:val="14"/>
                <w:szCs w:val="14"/>
              </w:rPr>
              <w:t>(Source: SLID 2009 PUMF)</w:t>
            </w:r>
          </w:p>
        </w:tc>
      </w:tr>
      <w:tr w:rsidR="00E46B55" w:rsidRPr="00880020" w:rsidTr="00E46B55">
        <w:trPr>
          <w:trHeight w:val="20"/>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E46B55" w:rsidRPr="00880020" w:rsidRDefault="00E46B55" w:rsidP="00E46B55">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E46B55" w:rsidRPr="00880020" w:rsidTr="00E46B55">
        <w:trPr>
          <w:trHeight w:val="20"/>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82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70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183B54" w:rsidP="00E46B55">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E46B55"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E46B55" w:rsidRPr="00880020" w:rsidTr="00E46B55">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E46B55" w:rsidRPr="00CB3451" w:rsidRDefault="00E46B55" w:rsidP="00E46B55">
            <w:pPr>
              <w:spacing w:after="0" w:line="240" w:lineRule="auto"/>
              <w:jc w:val="both"/>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xml:space="preserve">Low income </w:t>
            </w:r>
            <w:r>
              <w:rPr>
                <w:rFonts w:ascii="Arial" w:eastAsia="Times New Roman" w:hAnsi="Arial" w:cs="Arial"/>
                <w:b/>
                <w:bCs/>
                <w:color w:val="000000"/>
                <w:sz w:val="14"/>
                <w:szCs w:val="14"/>
              </w:rPr>
              <w:t>adults</w:t>
            </w:r>
            <w:r w:rsidRPr="00880020">
              <w:rPr>
                <w:rFonts w:ascii="Arial" w:eastAsia="Times New Roman" w:hAnsi="Arial" w:cs="Arial"/>
                <w:b/>
                <w:bCs/>
                <w:color w:val="000000"/>
                <w:sz w:val="14"/>
                <w:szCs w:val="14"/>
              </w:rPr>
              <w:t xml:space="preserv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2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02"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E46B55" w:rsidRPr="00880020" w:rsidRDefault="00E46B55" w:rsidP="00E46B55">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E46B55" w:rsidRPr="00880020" w:rsidTr="00E46B55">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2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0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$579</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$9,733</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$248</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$227</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$17</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$51</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$419</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$20</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$162</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$155</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$148</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$10,786</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$1,230</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$12,017</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$1,236</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$9,607</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$127</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$140</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$242</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$30</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$1,251</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$147</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$396</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$316</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$336</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$240</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$11,110</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$2,959</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$14,070</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$359</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$5,713</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$61</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$1,219</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$235</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$128</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$45</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$408</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$578</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$228</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$321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$168</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$7,587</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$1,904</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$9,491</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$20</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$9,218</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$589</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$676</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$65</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$68</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$1,099</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$49</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$365</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$26</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$637</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$105</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$160</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$10,572</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$2,778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$13,351</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FF0000"/>
                <w:sz w:val="14"/>
                <w:szCs w:val="14"/>
              </w:rPr>
              <w:t>($257)</w:t>
            </w:r>
          </w:p>
        </w:tc>
        <w:tc>
          <w:tcPr>
            <w:tcW w:w="79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$1,469</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$136</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w:t>
            </w:r>
          </w:p>
        </w:tc>
        <w:tc>
          <w:tcPr>
            <w:tcW w:w="720" w:type="dxa"/>
            <w:tcBorders>
              <w:top w:val="nil"/>
              <w:left w:val="single" w:sz="12" w:space="0" w:color="000000"/>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$2,788</w:t>
            </w:r>
          </w:p>
        </w:tc>
        <w:tc>
          <w:tcPr>
            <w:tcW w:w="82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$9,032</w:t>
            </w:r>
          </w:p>
        </w:tc>
        <w:tc>
          <w:tcPr>
            <w:tcW w:w="70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$197</w:t>
            </w:r>
          </w:p>
        </w:tc>
        <w:tc>
          <w:tcPr>
            <w:tcW w:w="64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$331</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$482</w:t>
            </w:r>
          </w:p>
        </w:tc>
        <w:tc>
          <w:tcPr>
            <w:tcW w:w="81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$1,351</w:t>
            </w:r>
          </w:p>
        </w:tc>
        <w:tc>
          <w:tcPr>
            <w:tcW w:w="810" w:type="dxa"/>
            <w:tcBorders>
              <w:top w:val="nil"/>
              <w:left w:val="single" w:sz="4" w:space="0" w:color="000000"/>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$12,859</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$14,210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$625</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$8,594</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$411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$181</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$257</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$378</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$618</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$330</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$198</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$190</w:t>
            </w:r>
          </w:p>
        </w:tc>
        <w:tc>
          <w:tcPr>
            <w:tcW w:w="81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$9,938</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$2,414</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$12,352</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$125</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$6,160</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$49</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$22</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$356</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$1,212</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$268</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$813</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$135</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$286</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$369</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$6,712</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$3,091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$9,803</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$1,125</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$5,416</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$93</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$106</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$239</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$5,420</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$807</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$2,099</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$142</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$341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$669</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$6,986</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$9,538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$16,524</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$706</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$2,941</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$1,897</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$216</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$205</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$1,873</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$76</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$278</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$66</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$1,041</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$188</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$239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$158</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$5,966</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$3,921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$9,886</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$525</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$2,515</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$808</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$972</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$67</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$129</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$75</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$1,107</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$298</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$122</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$798</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$117</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$224</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$152</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$5,016</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$2,918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$7,934</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FF0000"/>
                <w:sz w:val="14"/>
                <w:szCs w:val="14"/>
              </w:rPr>
              <w:t>($162)</w:t>
            </w:r>
          </w:p>
        </w:tc>
        <w:tc>
          <w:tcPr>
            <w:tcW w:w="79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$65</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$537</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$429</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$49</w:t>
            </w:r>
          </w:p>
        </w:tc>
        <w:tc>
          <w:tcPr>
            <w:tcW w:w="720" w:type="dxa"/>
            <w:tcBorders>
              <w:top w:val="nil"/>
              <w:left w:val="single" w:sz="12" w:space="0" w:color="000000"/>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$2,440</w:t>
            </w:r>
          </w:p>
        </w:tc>
        <w:tc>
          <w:tcPr>
            <w:tcW w:w="82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$10,835</w:t>
            </w:r>
          </w:p>
        </w:tc>
        <w:tc>
          <w:tcPr>
            <w:tcW w:w="70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64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$336</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$426</w:t>
            </w:r>
          </w:p>
        </w:tc>
        <w:tc>
          <w:tcPr>
            <w:tcW w:w="81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$934</w:t>
            </w:r>
          </w:p>
        </w:tc>
        <w:tc>
          <w:tcPr>
            <w:tcW w:w="810" w:type="dxa"/>
            <w:tcBorders>
              <w:top w:val="nil"/>
              <w:left w:val="single" w:sz="4" w:space="0" w:color="000000"/>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$14,080</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$15,014</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$475</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$4,629</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$139</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$411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$71</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$254</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$2,174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$364</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$1,034</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$361</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$1,107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$129</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$406</w:t>
            </w:r>
          </w:p>
        </w:tc>
        <w:tc>
          <w:tcPr>
            <w:tcW w:w="81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$5,980</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$5,900</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$11,880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 </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$367</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$8,069</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$155</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$287</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$574</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$349</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$465</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$146</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$251</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$8,889</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$2,097</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$10,986</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$1,182</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$7,562</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$110</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$52</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$188</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$2,769</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$1,034</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$87</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$1,227</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$231</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$449</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$9,098</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$6,170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$15,267</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$498</w:t>
            </w:r>
          </w:p>
        </w:tc>
        <w:tc>
          <w:tcPr>
            <w:tcW w:w="79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$4,609</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$37</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$1,489</w:t>
            </w:r>
          </w:p>
        </w:tc>
        <w:tc>
          <w:tcPr>
            <w:tcW w:w="81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$86</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$223</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$823</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w:t>
            </w:r>
          </w:p>
        </w:tc>
        <w:tc>
          <w:tcPr>
            <w:tcW w:w="82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$0</w:t>
            </w:r>
          </w:p>
        </w:tc>
        <w:tc>
          <w:tcPr>
            <w:tcW w:w="702"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$356</w:t>
            </w:r>
          </w:p>
        </w:tc>
        <w:tc>
          <w:tcPr>
            <w:tcW w:w="648"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$43</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$763</w:t>
            </w:r>
          </w:p>
        </w:tc>
        <w:tc>
          <w:tcPr>
            <w:tcW w:w="720" w:type="dxa"/>
            <w:tcBorders>
              <w:top w:val="nil"/>
              <w:left w:val="nil"/>
              <w:bottom w:val="nil"/>
              <w:right w:val="single" w:sz="4"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$212</w:t>
            </w:r>
          </w:p>
        </w:tc>
        <w:tc>
          <w:tcPr>
            <w:tcW w:w="72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$164</w:t>
            </w:r>
          </w:p>
        </w:tc>
        <w:tc>
          <w:tcPr>
            <w:tcW w:w="810" w:type="dxa"/>
            <w:tcBorders>
              <w:top w:val="nil"/>
              <w:left w:val="nil"/>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$6,941</w:t>
            </w:r>
          </w:p>
        </w:tc>
        <w:tc>
          <w:tcPr>
            <w:tcW w:w="810" w:type="dxa"/>
            <w:tcBorders>
              <w:top w:val="nil"/>
              <w:left w:val="single" w:sz="4" w:space="0" w:color="000000"/>
              <w:bottom w:val="nil"/>
              <w:right w:val="nil"/>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$2,707</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$9,648</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$280</w:t>
            </w:r>
          </w:p>
        </w:tc>
        <w:tc>
          <w:tcPr>
            <w:tcW w:w="79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$5,771</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$701</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$828</w:t>
            </w:r>
          </w:p>
        </w:tc>
        <w:tc>
          <w:tcPr>
            <w:tcW w:w="81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$37</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$98</w:t>
            </w:r>
          </w:p>
        </w:tc>
        <w:tc>
          <w:tcPr>
            <w:tcW w:w="720" w:type="dxa"/>
            <w:tcBorders>
              <w:top w:val="nil"/>
              <w:left w:val="single" w:sz="12" w:space="0" w:color="000000"/>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$71</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$1,103</w:t>
            </w:r>
          </w:p>
        </w:tc>
        <w:tc>
          <w:tcPr>
            <w:tcW w:w="82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$177</w:t>
            </w:r>
          </w:p>
        </w:tc>
        <w:tc>
          <w:tcPr>
            <w:tcW w:w="702"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$190</w:t>
            </w:r>
          </w:p>
        </w:tc>
        <w:tc>
          <w:tcPr>
            <w:tcW w:w="648"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$75</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$720</w:t>
            </w:r>
          </w:p>
        </w:tc>
        <w:tc>
          <w:tcPr>
            <w:tcW w:w="720" w:type="dxa"/>
            <w:tcBorders>
              <w:top w:val="nil"/>
              <w:left w:val="nil"/>
              <w:bottom w:val="nil"/>
              <w:right w:val="single" w:sz="4"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$111</w:t>
            </w:r>
          </w:p>
        </w:tc>
        <w:tc>
          <w:tcPr>
            <w:tcW w:w="72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$247</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$156</w:t>
            </w:r>
          </w:p>
        </w:tc>
        <w:tc>
          <w:tcPr>
            <w:tcW w:w="810" w:type="dxa"/>
            <w:tcBorders>
              <w:top w:val="nil"/>
              <w:left w:val="nil"/>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$7,715</w:t>
            </w:r>
          </w:p>
        </w:tc>
        <w:tc>
          <w:tcPr>
            <w:tcW w:w="810" w:type="dxa"/>
            <w:tcBorders>
              <w:top w:val="nil"/>
              <w:left w:val="single" w:sz="4" w:space="0" w:color="000000"/>
              <w:bottom w:val="nil"/>
              <w:right w:val="nil"/>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$2,850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$10,565</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FF0000"/>
                <w:sz w:val="14"/>
                <w:szCs w:val="14"/>
              </w:rPr>
              <w:t>($193)</w:t>
            </w:r>
          </w:p>
        </w:tc>
        <w:tc>
          <w:tcPr>
            <w:tcW w:w="79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$45</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$840</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$334</w:t>
            </w:r>
          </w:p>
        </w:tc>
        <w:tc>
          <w:tcPr>
            <w:tcW w:w="81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$11</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w:t>
            </w:r>
          </w:p>
        </w:tc>
        <w:tc>
          <w:tcPr>
            <w:tcW w:w="720" w:type="dxa"/>
            <w:tcBorders>
              <w:top w:val="nil"/>
              <w:left w:val="single" w:sz="12" w:space="0" w:color="000000"/>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$2,553</w:t>
            </w:r>
          </w:p>
        </w:tc>
        <w:tc>
          <w:tcPr>
            <w:tcW w:w="82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$10,248</w:t>
            </w:r>
          </w:p>
        </w:tc>
        <w:tc>
          <w:tcPr>
            <w:tcW w:w="702"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$64</w:t>
            </w:r>
          </w:p>
        </w:tc>
        <w:tc>
          <w:tcPr>
            <w:tcW w:w="648"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$27</w:t>
            </w:r>
          </w:p>
        </w:tc>
        <w:tc>
          <w:tcPr>
            <w:tcW w:w="720" w:type="dxa"/>
            <w:tcBorders>
              <w:top w:val="nil"/>
              <w:left w:val="nil"/>
              <w:right w:val="single" w:sz="4"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w:t>
            </w:r>
          </w:p>
        </w:tc>
        <w:tc>
          <w:tcPr>
            <w:tcW w:w="72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$334</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$444</w:t>
            </w:r>
          </w:p>
        </w:tc>
        <w:tc>
          <w:tcPr>
            <w:tcW w:w="810" w:type="dxa"/>
            <w:tcBorders>
              <w:top w:val="nil"/>
              <w:left w:val="nil"/>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$1,070</w:t>
            </w:r>
          </w:p>
        </w:tc>
        <w:tc>
          <w:tcPr>
            <w:tcW w:w="810" w:type="dxa"/>
            <w:tcBorders>
              <w:top w:val="nil"/>
              <w:left w:val="single" w:sz="4" w:space="0" w:color="000000"/>
              <w:right w:val="nil"/>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$13,682</w:t>
            </w:r>
          </w:p>
        </w:tc>
        <w:tc>
          <w:tcPr>
            <w:tcW w:w="810" w:type="dxa"/>
            <w:tcBorders>
              <w:top w:val="nil"/>
              <w:left w:val="single" w:sz="4" w:space="0" w:color="000000"/>
              <w:right w:val="single" w:sz="12" w:space="0" w:color="000000"/>
            </w:tcBorders>
            <w:shd w:val="clear" w:color="auto" w:fill="B6DDE8"/>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$14,752</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$553</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$6,688</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$133</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$411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$35</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$216</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$1,096</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$308</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$694</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$495</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$43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$704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$165</w:t>
            </w:r>
          </w:p>
        </w:tc>
        <w:tc>
          <w:tcPr>
            <w:tcW w:w="72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color w:val="000000"/>
                <w:sz w:val="14"/>
                <w:szCs w:val="14"/>
              </w:rPr>
            </w:pPr>
            <w:r w:rsidRPr="00B717FA">
              <w:rPr>
                <w:rFonts w:ascii="Arial" w:hAnsi="Arial" w:cs="Arial"/>
                <w:color w:val="000000"/>
                <w:sz w:val="14"/>
                <w:szCs w:val="14"/>
              </w:rPr>
              <w:t>$294</w:t>
            </w:r>
          </w:p>
        </w:tc>
        <w:tc>
          <w:tcPr>
            <w:tcW w:w="810" w:type="dxa"/>
            <w:tcBorders>
              <w:top w:val="nil"/>
              <w:left w:val="nil"/>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$8,035</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$4,090</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B717FA" w:rsidRDefault="00E46B55" w:rsidP="00E46B55">
            <w:pPr>
              <w:spacing w:after="0" w:line="240" w:lineRule="auto"/>
              <w:jc w:val="right"/>
              <w:rPr>
                <w:rFonts w:ascii="Arial" w:hAnsi="Arial" w:cs="Arial"/>
                <w:b/>
                <w:bCs/>
                <w:color w:val="000000"/>
                <w:sz w:val="14"/>
                <w:szCs w:val="14"/>
              </w:rPr>
            </w:pPr>
            <w:r w:rsidRPr="00B717FA">
              <w:rPr>
                <w:rFonts w:ascii="Arial" w:hAnsi="Arial" w:cs="Arial"/>
                <w:b/>
                <w:bCs/>
                <w:color w:val="000000"/>
                <w:sz w:val="14"/>
                <w:szCs w:val="14"/>
              </w:rPr>
              <w:t>$12,125</w:t>
            </w:r>
          </w:p>
        </w:tc>
      </w:tr>
      <w:tr w:rsidR="00E46B55" w:rsidRPr="00880020" w:rsidTr="00E46B55">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E46B55" w:rsidRPr="00880020" w:rsidRDefault="00E46B55" w:rsidP="00E46B55">
            <w:pPr>
              <w:spacing w:after="0" w:line="240" w:lineRule="auto"/>
              <w:rPr>
                <w:rFonts w:ascii="Arial" w:eastAsia="Times New Roman" w:hAnsi="Arial" w:cs="Arial"/>
                <w:color w:val="000000"/>
                <w:sz w:val="14"/>
                <w:szCs w:val="14"/>
              </w:rPr>
            </w:pPr>
            <w:r w:rsidRPr="00880020">
              <w:rPr>
                <w:rFonts w:ascii="Arial" w:eastAsia="Times New Roman" w:hAnsi="Arial" w:cs="Arial"/>
                <w:b/>
                <w:bCs/>
                <w:color w:val="000000"/>
                <w:sz w:val="14"/>
                <w:szCs w:val="14"/>
              </w:rPr>
              <w:t xml:space="preserve">Low income </w:t>
            </w:r>
            <w:r>
              <w:rPr>
                <w:rFonts w:ascii="Arial" w:eastAsia="Times New Roman" w:hAnsi="Arial" w:cs="Arial"/>
                <w:b/>
                <w:bCs/>
                <w:color w:val="000000"/>
                <w:sz w:val="14"/>
                <w:szCs w:val="14"/>
              </w:rPr>
              <w:t>adults</w:t>
            </w:r>
            <w:r w:rsidRPr="00880020">
              <w:rPr>
                <w:rFonts w:ascii="Arial" w:eastAsia="Times New Roman" w:hAnsi="Arial" w:cs="Arial"/>
                <w:b/>
                <w:bCs/>
                <w:color w:val="000000"/>
                <w:sz w:val="14"/>
                <w:szCs w:val="14"/>
              </w:rPr>
              <w:t xml:space="preserve"> 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28"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02"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E46B55" w:rsidRPr="00880020" w:rsidRDefault="00E46B55" w:rsidP="00E46B55">
            <w:pPr>
              <w:spacing w:after="0" w:line="240" w:lineRule="auto"/>
              <w:jc w:val="right"/>
              <w:rPr>
                <w:rFonts w:ascii="Arial" w:eastAsia="Times New Roman" w:hAnsi="Arial" w:cs="Arial"/>
                <w:b/>
                <w:bCs/>
                <w:color w:val="000000"/>
                <w:sz w:val="14"/>
                <w:szCs w:val="14"/>
              </w:rPr>
            </w:pPr>
          </w:p>
        </w:tc>
      </w:tr>
      <w:tr w:rsidR="00E46B55" w:rsidRPr="00880020" w:rsidTr="00E46B55">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hideMark/>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28"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02"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hideMark/>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hideMark/>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891AB4" w:rsidRDefault="00E46B55" w:rsidP="00E46B55">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4.8%</w:t>
            </w:r>
          </w:p>
        </w:tc>
        <w:tc>
          <w:tcPr>
            <w:tcW w:w="792"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81.0%</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1.9%</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828"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3.5%</w:t>
            </w:r>
          </w:p>
        </w:tc>
        <w:tc>
          <w:tcPr>
            <w:tcW w:w="648"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1.3%</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1.3%</w:t>
            </w:r>
          </w:p>
        </w:tc>
        <w:tc>
          <w:tcPr>
            <w:tcW w:w="72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w:t>
            </w:r>
          </w:p>
        </w:tc>
        <w:tc>
          <w:tcPr>
            <w:tcW w:w="81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89.8%</w:t>
            </w:r>
          </w:p>
        </w:tc>
        <w:tc>
          <w:tcPr>
            <w:tcW w:w="810" w:type="dxa"/>
            <w:tcBorders>
              <w:top w:val="nil"/>
              <w:left w:val="single" w:sz="4" w:space="0" w:color="000000"/>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10.2%</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8.8%</w:t>
            </w:r>
          </w:p>
        </w:tc>
        <w:tc>
          <w:tcPr>
            <w:tcW w:w="792"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68.3%</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1.7%</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828"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8.9%</w:t>
            </w:r>
          </w:p>
        </w:tc>
        <w:tc>
          <w:tcPr>
            <w:tcW w:w="648"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2.8%</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2.2%</w:t>
            </w:r>
          </w:p>
        </w:tc>
        <w:tc>
          <w:tcPr>
            <w:tcW w:w="72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1.7%</w:t>
            </w:r>
          </w:p>
        </w:tc>
        <w:tc>
          <w:tcPr>
            <w:tcW w:w="81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79.0%</w:t>
            </w:r>
          </w:p>
        </w:tc>
        <w:tc>
          <w:tcPr>
            <w:tcW w:w="810" w:type="dxa"/>
            <w:tcBorders>
              <w:top w:val="nil"/>
              <w:left w:val="single" w:sz="4" w:space="0" w:color="000000"/>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21.0%</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3.8%</w:t>
            </w:r>
          </w:p>
        </w:tc>
        <w:tc>
          <w:tcPr>
            <w:tcW w:w="792"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60.2%</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12.8%</w:t>
            </w:r>
          </w:p>
        </w:tc>
        <w:tc>
          <w:tcPr>
            <w:tcW w:w="81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2.5%</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0.5%</w:t>
            </w:r>
          </w:p>
        </w:tc>
        <w:tc>
          <w:tcPr>
            <w:tcW w:w="828"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4.3%</w:t>
            </w:r>
          </w:p>
        </w:tc>
        <w:tc>
          <w:tcPr>
            <w:tcW w:w="648"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6.1%</w:t>
            </w:r>
          </w:p>
        </w:tc>
        <w:tc>
          <w:tcPr>
            <w:tcW w:w="720" w:type="dxa"/>
            <w:tcBorders>
              <w:top w:val="nil"/>
              <w:left w:val="nil"/>
              <w:bottom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72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3.4%</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w:t>
            </w:r>
          </w:p>
        </w:tc>
        <w:tc>
          <w:tcPr>
            <w:tcW w:w="810" w:type="dxa"/>
            <w:tcBorders>
              <w:top w:val="nil"/>
              <w:left w:val="nil"/>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79.9%</w:t>
            </w:r>
          </w:p>
        </w:tc>
        <w:tc>
          <w:tcPr>
            <w:tcW w:w="810" w:type="dxa"/>
            <w:tcBorders>
              <w:top w:val="nil"/>
              <w:left w:val="single" w:sz="4" w:space="0" w:color="000000"/>
              <w:bottom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20.1%</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92"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69.0%</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4.4%</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5.1%</w:t>
            </w:r>
          </w:p>
        </w:tc>
        <w:tc>
          <w:tcPr>
            <w:tcW w:w="81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0.5%</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8.2%</w:t>
            </w:r>
          </w:p>
        </w:tc>
        <w:tc>
          <w:tcPr>
            <w:tcW w:w="828"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702"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2.7%</w:t>
            </w:r>
          </w:p>
        </w:tc>
        <w:tc>
          <w:tcPr>
            <w:tcW w:w="648"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4.8%</w:t>
            </w:r>
          </w:p>
        </w:tc>
        <w:tc>
          <w:tcPr>
            <w:tcW w:w="720" w:type="dxa"/>
            <w:tcBorders>
              <w:top w:val="nil"/>
              <w:left w:val="nil"/>
              <w:bottom w:val="nil"/>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0.8%</w:t>
            </w:r>
          </w:p>
        </w:tc>
        <w:tc>
          <w:tcPr>
            <w:tcW w:w="72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2.0%</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w:t>
            </w:r>
          </w:p>
        </w:tc>
        <w:tc>
          <w:tcPr>
            <w:tcW w:w="810" w:type="dxa"/>
            <w:tcBorders>
              <w:top w:val="nil"/>
              <w:left w:val="nil"/>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79.2%</w:t>
            </w:r>
          </w:p>
        </w:tc>
        <w:tc>
          <w:tcPr>
            <w:tcW w:w="810" w:type="dxa"/>
            <w:tcBorders>
              <w:top w:val="nil"/>
              <w:left w:val="single" w:sz="4" w:space="0" w:color="000000"/>
              <w:bottom w:val="nil"/>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20.8%</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FF0000"/>
                <w:sz w:val="14"/>
                <w:szCs w:val="14"/>
              </w:rPr>
              <w:t>(1.8%)</w:t>
            </w:r>
          </w:p>
        </w:tc>
        <w:tc>
          <w:tcPr>
            <w:tcW w:w="79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10.3%</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single" w:sz="12" w:space="0" w:color="000000"/>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19.6%</w:t>
            </w:r>
          </w:p>
        </w:tc>
        <w:tc>
          <w:tcPr>
            <w:tcW w:w="82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63.6%</w:t>
            </w:r>
          </w:p>
        </w:tc>
        <w:tc>
          <w:tcPr>
            <w:tcW w:w="70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64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3.4%</w:t>
            </w:r>
          </w:p>
        </w:tc>
        <w:tc>
          <w:tcPr>
            <w:tcW w:w="81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9.5%</w:t>
            </w:r>
          </w:p>
        </w:tc>
        <w:tc>
          <w:tcPr>
            <w:tcW w:w="810" w:type="dxa"/>
            <w:tcBorders>
              <w:top w:val="nil"/>
              <w:left w:val="single" w:sz="4" w:space="0" w:color="000000"/>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90.5%</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5.1%</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69.6%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3.3%</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3.1%</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5.0%</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1.6%</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81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80.5%</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19.5%</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E46B55">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28"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02"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c>
          <w:tcPr>
            <w:tcW w:w="810" w:type="dxa"/>
            <w:tcBorders>
              <w:top w:val="nil"/>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r>
      <w:tr w:rsidR="00E46B55" w:rsidRPr="00880020"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1.3%</w:t>
            </w:r>
          </w:p>
        </w:tc>
        <w:tc>
          <w:tcPr>
            <w:tcW w:w="792"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62.8%</w:t>
            </w:r>
          </w:p>
        </w:tc>
        <w:tc>
          <w:tcPr>
            <w:tcW w:w="81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0.5%</w:t>
            </w:r>
          </w:p>
        </w:tc>
        <w:tc>
          <w:tcPr>
            <w:tcW w:w="81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3.6%</w:t>
            </w:r>
          </w:p>
        </w:tc>
        <w:tc>
          <w:tcPr>
            <w:tcW w:w="720" w:type="dxa"/>
            <w:tcBorders>
              <w:top w:val="nil"/>
              <w:left w:val="single" w:sz="12" w:space="0" w:color="000000"/>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12.4%</w:t>
            </w:r>
          </w:p>
        </w:tc>
        <w:tc>
          <w:tcPr>
            <w:tcW w:w="72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28"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2.7%</w:t>
            </w:r>
          </w:p>
        </w:tc>
        <w:tc>
          <w:tcPr>
            <w:tcW w:w="648"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8.3%</w:t>
            </w:r>
          </w:p>
        </w:tc>
        <w:tc>
          <w:tcPr>
            <w:tcW w:w="720" w:type="dxa"/>
            <w:tcBorders>
              <w:top w:val="nil"/>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720" w:type="dxa"/>
            <w:tcBorders>
              <w:top w:val="nil"/>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2.9%</w:t>
            </w:r>
          </w:p>
        </w:tc>
        <w:tc>
          <w:tcPr>
            <w:tcW w:w="810" w:type="dxa"/>
            <w:tcBorders>
              <w:top w:val="nil"/>
              <w:left w:val="single" w:sz="4" w:space="0" w:color="000000"/>
              <w:right w:val="single" w:sz="12"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3.8%</w:t>
            </w:r>
          </w:p>
        </w:tc>
        <w:tc>
          <w:tcPr>
            <w:tcW w:w="810" w:type="dxa"/>
            <w:tcBorders>
              <w:top w:val="nil"/>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68.5%</w:t>
            </w:r>
          </w:p>
        </w:tc>
        <w:tc>
          <w:tcPr>
            <w:tcW w:w="810" w:type="dxa"/>
            <w:tcBorders>
              <w:top w:val="nil"/>
              <w:left w:val="single" w:sz="4" w:space="0" w:color="000000"/>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31.5%</w:t>
            </w:r>
          </w:p>
        </w:tc>
        <w:tc>
          <w:tcPr>
            <w:tcW w:w="810" w:type="dxa"/>
            <w:tcBorders>
              <w:top w:val="nil"/>
              <w:left w:val="single" w:sz="4" w:space="0" w:color="000000"/>
              <w:right w:val="single" w:sz="12"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top w:val="nil"/>
              <w:left w:val="single" w:sz="12" w:space="0" w:color="000000"/>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6.8%</w:t>
            </w:r>
          </w:p>
        </w:tc>
        <w:tc>
          <w:tcPr>
            <w:tcW w:w="792"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32.8%</w:t>
            </w:r>
          </w:p>
        </w:tc>
        <w:tc>
          <w:tcPr>
            <w:tcW w:w="81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81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720" w:type="dxa"/>
            <w:tcBorders>
              <w:top w:val="nil"/>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720" w:type="dxa"/>
            <w:tcBorders>
              <w:top w:val="nil"/>
              <w:left w:val="single" w:sz="12" w:space="0" w:color="000000"/>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32.8%</w:t>
            </w:r>
          </w:p>
        </w:tc>
        <w:tc>
          <w:tcPr>
            <w:tcW w:w="72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828"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4.9%</w:t>
            </w:r>
          </w:p>
        </w:tc>
        <w:tc>
          <w:tcPr>
            <w:tcW w:w="648"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12.7%</w:t>
            </w:r>
          </w:p>
        </w:tc>
        <w:tc>
          <w:tcPr>
            <w:tcW w:w="720" w:type="dxa"/>
            <w:tcBorders>
              <w:top w:val="nil"/>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720" w:type="dxa"/>
            <w:tcBorders>
              <w:top w:val="nil"/>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810" w:type="dxa"/>
            <w:tcBorders>
              <w:top w:val="nil"/>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4.0%</w:t>
            </w:r>
          </w:p>
        </w:tc>
        <w:tc>
          <w:tcPr>
            <w:tcW w:w="81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42.3%</w:t>
            </w:r>
          </w:p>
        </w:tc>
        <w:tc>
          <w:tcPr>
            <w:tcW w:w="810" w:type="dxa"/>
            <w:tcBorders>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57.7%</w:t>
            </w:r>
          </w:p>
        </w:tc>
        <w:tc>
          <w:tcPr>
            <w:tcW w:w="810" w:type="dxa"/>
            <w:tcBorders>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left w:val="single" w:sz="12" w:space="0" w:color="auto"/>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7.1%</w:t>
            </w:r>
          </w:p>
        </w:tc>
        <w:tc>
          <w:tcPr>
            <w:tcW w:w="79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29.7%</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19.2%</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2.2%</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720" w:type="dxa"/>
            <w:tcBorders>
              <w:left w:val="single" w:sz="12" w:space="0" w:color="000000"/>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18.9%</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0.8%</w:t>
            </w:r>
          </w:p>
        </w:tc>
        <w:tc>
          <w:tcPr>
            <w:tcW w:w="82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2.8%</w:t>
            </w:r>
          </w:p>
        </w:tc>
        <w:tc>
          <w:tcPr>
            <w:tcW w:w="64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0.7%</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10.5%</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1.9%</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810" w:type="dxa"/>
            <w:tcBorders>
              <w:left w:val="single" w:sz="4" w:space="0" w:color="000000"/>
              <w:right w:val="single" w:sz="12"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1.6%</w:t>
            </w:r>
          </w:p>
        </w:tc>
        <w:tc>
          <w:tcPr>
            <w:tcW w:w="81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60.3%</w:t>
            </w:r>
          </w:p>
        </w:tc>
        <w:tc>
          <w:tcPr>
            <w:tcW w:w="810" w:type="dxa"/>
            <w:tcBorders>
              <w:left w:val="single" w:sz="4" w:space="0" w:color="000000"/>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39.7%</w:t>
            </w:r>
          </w:p>
        </w:tc>
        <w:tc>
          <w:tcPr>
            <w:tcW w:w="810" w:type="dxa"/>
            <w:tcBorders>
              <w:left w:val="single" w:sz="4" w:space="0" w:color="000000"/>
              <w:right w:val="single" w:sz="12" w:space="0" w:color="auto"/>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6.6%</w:t>
            </w:r>
          </w:p>
        </w:tc>
        <w:tc>
          <w:tcPr>
            <w:tcW w:w="79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31.7%</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10.2%</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12.3%</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1.6%</w:t>
            </w:r>
          </w:p>
        </w:tc>
        <w:tc>
          <w:tcPr>
            <w:tcW w:w="720" w:type="dxa"/>
            <w:tcBorders>
              <w:left w:val="single" w:sz="12" w:space="0" w:color="000000"/>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14.0%</w:t>
            </w:r>
          </w:p>
        </w:tc>
        <w:tc>
          <w:tcPr>
            <w:tcW w:w="82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3.8%</w:t>
            </w:r>
          </w:p>
        </w:tc>
        <w:tc>
          <w:tcPr>
            <w:tcW w:w="70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64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10.1%</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2.8%</w:t>
            </w:r>
          </w:p>
        </w:tc>
        <w:tc>
          <w:tcPr>
            <w:tcW w:w="810" w:type="dxa"/>
            <w:tcBorders>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1.9%</w:t>
            </w:r>
          </w:p>
        </w:tc>
        <w:tc>
          <w:tcPr>
            <w:tcW w:w="81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63.2%</w:t>
            </w:r>
          </w:p>
        </w:tc>
        <w:tc>
          <w:tcPr>
            <w:tcW w:w="810" w:type="dxa"/>
            <w:tcBorders>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36.8%</w:t>
            </w:r>
          </w:p>
        </w:tc>
        <w:tc>
          <w:tcPr>
            <w:tcW w:w="810" w:type="dxa"/>
            <w:tcBorders>
              <w:left w:val="single" w:sz="4" w:space="0" w:color="000000"/>
              <w:right w:val="single" w:sz="12" w:space="0" w:color="auto"/>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FF0000"/>
                <w:sz w:val="14"/>
                <w:szCs w:val="14"/>
              </w:rPr>
              <w:t>(1.1%)</w:t>
            </w:r>
          </w:p>
        </w:tc>
        <w:tc>
          <w:tcPr>
            <w:tcW w:w="79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3.6%</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2.9%</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720" w:type="dxa"/>
            <w:tcBorders>
              <w:top w:val="nil"/>
              <w:left w:val="single" w:sz="12" w:space="0" w:color="000000"/>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16.2%</w:t>
            </w:r>
          </w:p>
        </w:tc>
        <w:tc>
          <w:tcPr>
            <w:tcW w:w="82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72.2%</w:t>
            </w:r>
          </w:p>
        </w:tc>
        <w:tc>
          <w:tcPr>
            <w:tcW w:w="70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64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2.2%</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2.8%</w:t>
            </w:r>
          </w:p>
        </w:tc>
        <w:tc>
          <w:tcPr>
            <w:tcW w:w="81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6.2%</w:t>
            </w:r>
          </w:p>
        </w:tc>
        <w:tc>
          <w:tcPr>
            <w:tcW w:w="810" w:type="dxa"/>
            <w:tcBorders>
              <w:top w:val="nil"/>
              <w:left w:val="single" w:sz="4" w:space="0" w:color="000000"/>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93.8%</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4.0%</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39.0%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3.5%</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2.1%</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3.1%</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8.7%</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3.0%</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9.3%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1.1%</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2.5%</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3.4%</w:t>
            </w:r>
          </w:p>
        </w:tc>
        <w:tc>
          <w:tcPr>
            <w:tcW w:w="81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50.3%</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49.7%</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28"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02"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r>
      <w:tr w:rsidR="00E46B55" w:rsidRPr="00880020" w:rsidTr="00E46B55">
        <w:trPr>
          <w:trHeight w:val="20"/>
        </w:trPr>
        <w:tc>
          <w:tcPr>
            <w:tcW w:w="118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9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single" w:sz="12" w:space="0" w:color="000000"/>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2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0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64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 </w:t>
            </w:r>
          </w:p>
        </w:tc>
        <w:tc>
          <w:tcPr>
            <w:tcW w:w="81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p>
        </w:tc>
        <w:tc>
          <w:tcPr>
            <w:tcW w:w="810" w:type="dxa"/>
            <w:tcBorders>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c>
          <w:tcPr>
            <w:tcW w:w="810" w:type="dxa"/>
            <w:tcBorders>
              <w:left w:val="single" w:sz="4" w:space="0" w:color="000000"/>
              <w:right w:val="single" w:sz="12" w:space="0" w:color="auto"/>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 </w:t>
            </w:r>
          </w:p>
        </w:tc>
      </w:tr>
      <w:tr w:rsidR="00E46B55" w:rsidRPr="00880020" w:rsidTr="00E46B55">
        <w:trPr>
          <w:trHeight w:val="20"/>
        </w:trPr>
        <w:tc>
          <w:tcPr>
            <w:tcW w:w="1188" w:type="dxa"/>
            <w:tcBorders>
              <w:left w:val="single" w:sz="12" w:space="0" w:color="auto"/>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3.3%</w:t>
            </w:r>
          </w:p>
        </w:tc>
        <w:tc>
          <w:tcPr>
            <w:tcW w:w="79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73.4%</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2.6%</w:t>
            </w:r>
          </w:p>
        </w:tc>
        <w:tc>
          <w:tcPr>
            <w:tcW w:w="720" w:type="dxa"/>
            <w:tcBorders>
              <w:left w:val="single" w:sz="12" w:space="0" w:color="000000"/>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5.2%</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82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3.2%</w:t>
            </w:r>
          </w:p>
        </w:tc>
        <w:tc>
          <w:tcPr>
            <w:tcW w:w="64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4.2%</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1.3%</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2.5%</w:t>
            </w:r>
          </w:p>
        </w:tc>
        <w:tc>
          <w:tcPr>
            <w:tcW w:w="810" w:type="dxa"/>
            <w:tcBorders>
              <w:left w:val="single" w:sz="4" w:space="0" w:color="000000"/>
              <w:right w:val="single" w:sz="12"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81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80.9%</w:t>
            </w:r>
          </w:p>
        </w:tc>
        <w:tc>
          <w:tcPr>
            <w:tcW w:w="810" w:type="dxa"/>
            <w:tcBorders>
              <w:left w:val="single" w:sz="4" w:space="0" w:color="000000"/>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19.1%</w:t>
            </w:r>
          </w:p>
        </w:tc>
        <w:tc>
          <w:tcPr>
            <w:tcW w:w="810" w:type="dxa"/>
            <w:tcBorders>
              <w:left w:val="single" w:sz="4" w:space="0" w:color="000000"/>
              <w:right w:val="single" w:sz="12" w:space="0" w:color="auto"/>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7.7%</w:t>
            </w:r>
          </w:p>
        </w:tc>
        <w:tc>
          <w:tcPr>
            <w:tcW w:w="79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49.5%</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0.7%</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1.2%</w:t>
            </w:r>
          </w:p>
        </w:tc>
        <w:tc>
          <w:tcPr>
            <w:tcW w:w="720" w:type="dxa"/>
            <w:tcBorders>
              <w:left w:val="single" w:sz="12" w:space="0" w:color="000000"/>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18.1%</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82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6.8%</w:t>
            </w:r>
          </w:p>
        </w:tc>
        <w:tc>
          <w:tcPr>
            <w:tcW w:w="64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8.0%</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2.2%</w:t>
            </w:r>
          </w:p>
        </w:tc>
        <w:tc>
          <w:tcPr>
            <w:tcW w:w="810" w:type="dxa"/>
            <w:tcBorders>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2.9%</w:t>
            </w:r>
          </w:p>
        </w:tc>
        <w:tc>
          <w:tcPr>
            <w:tcW w:w="81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59.6%</w:t>
            </w:r>
          </w:p>
        </w:tc>
        <w:tc>
          <w:tcPr>
            <w:tcW w:w="810" w:type="dxa"/>
            <w:tcBorders>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40.4%</w:t>
            </w:r>
          </w:p>
        </w:tc>
        <w:tc>
          <w:tcPr>
            <w:tcW w:w="810" w:type="dxa"/>
            <w:tcBorders>
              <w:left w:val="single" w:sz="4" w:space="0" w:color="000000"/>
              <w:right w:val="single" w:sz="12" w:space="0" w:color="auto"/>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left w:val="single" w:sz="12" w:space="0" w:color="auto"/>
              <w:right w:val="single" w:sz="12" w:space="0" w:color="000000"/>
            </w:tcBorders>
            <w:shd w:val="clear" w:color="auto" w:fill="B6DDE8"/>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5.2%</w:t>
            </w:r>
          </w:p>
        </w:tc>
        <w:tc>
          <w:tcPr>
            <w:tcW w:w="79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47.8%</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15.4%</w:t>
            </w:r>
          </w:p>
        </w:tc>
        <w:tc>
          <w:tcPr>
            <w:tcW w:w="81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720" w:type="dxa"/>
            <w:tcBorders>
              <w:left w:val="single" w:sz="12" w:space="0" w:color="000000"/>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8.5%</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0.6%</w:t>
            </w:r>
          </w:p>
        </w:tc>
        <w:tc>
          <w:tcPr>
            <w:tcW w:w="82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02"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3.7%</w:t>
            </w:r>
          </w:p>
        </w:tc>
        <w:tc>
          <w:tcPr>
            <w:tcW w:w="648"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7.9%</w:t>
            </w:r>
          </w:p>
        </w:tc>
        <w:tc>
          <w:tcPr>
            <w:tcW w:w="720" w:type="dxa"/>
            <w:tcBorders>
              <w:left w:val="nil"/>
              <w:right w:val="single" w:sz="4"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2.2%</w:t>
            </w:r>
          </w:p>
        </w:tc>
        <w:tc>
          <w:tcPr>
            <w:tcW w:w="72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3.0%</w:t>
            </w:r>
          </w:p>
        </w:tc>
        <w:tc>
          <w:tcPr>
            <w:tcW w:w="810" w:type="dxa"/>
            <w:tcBorders>
              <w:left w:val="single" w:sz="4" w:space="0" w:color="000000"/>
              <w:right w:val="single" w:sz="12" w:space="0" w:color="000000"/>
            </w:tcBorders>
            <w:shd w:val="clear" w:color="auto" w:fill="B6DDE8"/>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1.7%</w:t>
            </w:r>
          </w:p>
        </w:tc>
        <w:tc>
          <w:tcPr>
            <w:tcW w:w="810" w:type="dxa"/>
            <w:tcBorders>
              <w:left w:val="nil"/>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71.9%</w:t>
            </w:r>
          </w:p>
        </w:tc>
        <w:tc>
          <w:tcPr>
            <w:tcW w:w="810" w:type="dxa"/>
            <w:tcBorders>
              <w:left w:val="single" w:sz="4" w:space="0" w:color="000000"/>
              <w:right w:val="nil"/>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28.1%</w:t>
            </w:r>
          </w:p>
        </w:tc>
        <w:tc>
          <w:tcPr>
            <w:tcW w:w="810" w:type="dxa"/>
            <w:tcBorders>
              <w:left w:val="single" w:sz="4" w:space="0" w:color="000000"/>
              <w:right w:val="single" w:sz="12" w:space="0" w:color="auto"/>
            </w:tcBorders>
            <w:shd w:val="clear" w:color="auto" w:fill="B6DDE8"/>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880020" w:rsidTr="00E46B55">
        <w:trPr>
          <w:trHeight w:val="20"/>
        </w:trPr>
        <w:tc>
          <w:tcPr>
            <w:tcW w:w="1188" w:type="dxa"/>
            <w:tcBorders>
              <w:left w:val="single" w:sz="12" w:space="0" w:color="auto"/>
              <w:right w:val="single" w:sz="12" w:space="0" w:color="000000"/>
            </w:tcBorders>
            <w:shd w:val="clear" w:color="auto" w:fill="auto"/>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2.6%</w:t>
            </w:r>
          </w:p>
        </w:tc>
        <w:tc>
          <w:tcPr>
            <w:tcW w:w="79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54.6%</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6.6%</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7.8%</w:t>
            </w:r>
          </w:p>
        </w:tc>
        <w:tc>
          <w:tcPr>
            <w:tcW w:w="81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0.9%</w:t>
            </w:r>
          </w:p>
        </w:tc>
        <w:tc>
          <w:tcPr>
            <w:tcW w:w="720" w:type="dxa"/>
            <w:tcBorders>
              <w:left w:val="single" w:sz="12" w:space="0" w:color="000000"/>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0.7%</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10.4%</w:t>
            </w:r>
          </w:p>
        </w:tc>
        <w:tc>
          <w:tcPr>
            <w:tcW w:w="82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1.7%</w:t>
            </w:r>
          </w:p>
        </w:tc>
        <w:tc>
          <w:tcPr>
            <w:tcW w:w="702"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w:t>
            </w:r>
          </w:p>
        </w:tc>
        <w:tc>
          <w:tcPr>
            <w:tcW w:w="648"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0.7%</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6.8%</w:t>
            </w:r>
          </w:p>
        </w:tc>
        <w:tc>
          <w:tcPr>
            <w:tcW w:w="720" w:type="dxa"/>
            <w:tcBorders>
              <w:left w:val="nil"/>
              <w:right w:val="single" w:sz="4"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1.1%</w:t>
            </w:r>
          </w:p>
        </w:tc>
        <w:tc>
          <w:tcPr>
            <w:tcW w:w="72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810" w:type="dxa"/>
            <w:tcBorders>
              <w:left w:val="single" w:sz="4" w:space="0" w:color="000000"/>
              <w:right w:val="single" w:sz="12" w:space="0" w:color="000000"/>
            </w:tcBorders>
            <w:shd w:val="clear" w:color="auto" w:fill="auto"/>
            <w:noWrap/>
            <w:vAlign w:val="center"/>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1.5%</w:t>
            </w:r>
          </w:p>
        </w:tc>
        <w:tc>
          <w:tcPr>
            <w:tcW w:w="810" w:type="dxa"/>
            <w:tcBorders>
              <w:left w:val="nil"/>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73.0%</w:t>
            </w:r>
          </w:p>
        </w:tc>
        <w:tc>
          <w:tcPr>
            <w:tcW w:w="810" w:type="dxa"/>
            <w:tcBorders>
              <w:left w:val="single" w:sz="4" w:space="0" w:color="000000"/>
              <w:right w:val="nil"/>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27.0%</w:t>
            </w:r>
          </w:p>
        </w:tc>
        <w:tc>
          <w:tcPr>
            <w:tcW w:w="810" w:type="dxa"/>
            <w:tcBorders>
              <w:left w:val="single" w:sz="4" w:space="0" w:color="000000"/>
              <w:right w:val="single" w:sz="12" w:space="0" w:color="auto"/>
            </w:tcBorders>
            <w:shd w:val="clear" w:color="auto" w:fill="auto"/>
            <w:noWrap/>
            <w:vAlign w:val="center"/>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E46B55">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FF0000"/>
                <w:sz w:val="14"/>
                <w:szCs w:val="14"/>
              </w:rPr>
              <w:t>(1.3%)</w:t>
            </w:r>
          </w:p>
        </w:tc>
        <w:tc>
          <w:tcPr>
            <w:tcW w:w="79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5.7%</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81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0.1%</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single" w:sz="12" w:space="0" w:color="000000"/>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17.3%</w:t>
            </w:r>
          </w:p>
        </w:tc>
        <w:tc>
          <w:tcPr>
            <w:tcW w:w="82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69.5%</w:t>
            </w:r>
          </w:p>
        </w:tc>
        <w:tc>
          <w:tcPr>
            <w:tcW w:w="702"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648"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0.2%</w:t>
            </w:r>
          </w:p>
        </w:tc>
        <w:tc>
          <w:tcPr>
            <w:tcW w:w="720" w:type="dxa"/>
            <w:tcBorders>
              <w:top w:val="nil"/>
              <w:left w:val="nil"/>
              <w:right w:val="single" w:sz="4"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2.3%</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3.0%</w:t>
            </w:r>
          </w:p>
        </w:tc>
        <w:tc>
          <w:tcPr>
            <w:tcW w:w="810" w:type="dxa"/>
            <w:tcBorders>
              <w:top w:val="nil"/>
              <w:left w:val="nil"/>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7.3%</w:t>
            </w:r>
          </w:p>
        </w:tc>
        <w:tc>
          <w:tcPr>
            <w:tcW w:w="810" w:type="dxa"/>
            <w:tcBorders>
              <w:top w:val="nil"/>
              <w:left w:val="single" w:sz="4" w:space="0" w:color="000000"/>
              <w:right w:val="nil"/>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92.7%</w:t>
            </w:r>
          </w:p>
        </w:tc>
        <w:tc>
          <w:tcPr>
            <w:tcW w:w="810" w:type="dxa"/>
            <w:tcBorders>
              <w:top w:val="nil"/>
              <w:left w:val="single" w:sz="4" w:space="0" w:color="000000"/>
              <w:right w:val="single" w:sz="12" w:space="0" w:color="000000"/>
            </w:tcBorders>
            <w:shd w:val="clear" w:color="auto" w:fill="B6DDE8"/>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r w:rsidR="00E46B55" w:rsidRPr="00017D27" w:rsidTr="00E46B55">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E46B55">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4.6%</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55.2%</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3.4%</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0.3%</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1.8%</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9.0%</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2.5%</w:t>
            </w:r>
          </w:p>
        </w:tc>
        <w:tc>
          <w:tcPr>
            <w:tcW w:w="82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5.7%</w:t>
            </w:r>
          </w:p>
        </w:tc>
        <w:tc>
          <w:tcPr>
            <w:tcW w:w="702"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4.1%</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0.4%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5.8%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1.4%</w:t>
            </w:r>
          </w:p>
        </w:tc>
        <w:tc>
          <w:tcPr>
            <w:tcW w:w="72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color w:val="000000"/>
                <w:sz w:val="14"/>
                <w:szCs w:val="14"/>
              </w:rPr>
            </w:pPr>
            <w:r w:rsidRPr="00C91F96">
              <w:rPr>
                <w:rFonts w:ascii="Arial" w:hAnsi="Arial" w:cs="Arial"/>
                <w:color w:val="000000"/>
                <w:sz w:val="14"/>
                <w:szCs w:val="14"/>
              </w:rPr>
              <w:t>2.4%</w:t>
            </w:r>
          </w:p>
        </w:tc>
        <w:tc>
          <w:tcPr>
            <w:tcW w:w="810" w:type="dxa"/>
            <w:tcBorders>
              <w:top w:val="nil"/>
              <w:left w:val="nil"/>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66.3%</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33.7%</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C91F96" w:rsidRDefault="00E46B55" w:rsidP="00E46B55">
            <w:pPr>
              <w:spacing w:after="0" w:line="240" w:lineRule="auto"/>
              <w:jc w:val="right"/>
              <w:rPr>
                <w:rFonts w:ascii="Arial" w:hAnsi="Arial" w:cs="Arial"/>
                <w:b/>
                <w:bCs/>
                <w:color w:val="000000"/>
                <w:sz w:val="14"/>
                <w:szCs w:val="14"/>
              </w:rPr>
            </w:pPr>
            <w:r w:rsidRPr="00C91F96">
              <w:rPr>
                <w:rFonts w:ascii="Arial" w:hAnsi="Arial" w:cs="Arial"/>
                <w:b/>
                <w:bCs/>
                <w:color w:val="000000"/>
                <w:sz w:val="14"/>
                <w:szCs w:val="14"/>
              </w:rPr>
              <w:t>100.0%</w:t>
            </w:r>
          </w:p>
        </w:tc>
      </w:tr>
    </w:tbl>
    <w:p w:rsidR="00E46B55" w:rsidRDefault="00E46B55"/>
    <w:tbl>
      <w:tblPr>
        <w:tblW w:w="14868" w:type="dxa"/>
        <w:tblLayout w:type="fixed"/>
        <w:tblLook w:val="04A0" w:firstRow="1" w:lastRow="0" w:firstColumn="1" w:lastColumn="0" w:noHBand="0" w:noVBand="1"/>
      </w:tblPr>
      <w:tblGrid>
        <w:gridCol w:w="1188"/>
        <w:gridCol w:w="720"/>
        <w:gridCol w:w="792"/>
        <w:gridCol w:w="810"/>
        <w:gridCol w:w="810"/>
        <w:gridCol w:w="738"/>
        <w:gridCol w:w="792"/>
        <w:gridCol w:w="720"/>
        <w:gridCol w:w="720"/>
        <w:gridCol w:w="720"/>
        <w:gridCol w:w="810"/>
        <w:gridCol w:w="648"/>
        <w:gridCol w:w="720"/>
        <w:gridCol w:w="720"/>
        <w:gridCol w:w="720"/>
        <w:gridCol w:w="810"/>
        <w:gridCol w:w="810"/>
        <w:gridCol w:w="810"/>
        <w:gridCol w:w="810"/>
      </w:tblGrid>
      <w:tr w:rsidR="00E46B55" w:rsidRPr="00880020" w:rsidTr="005375E7">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E46B55" w:rsidRPr="00880020" w:rsidRDefault="00E46B55" w:rsidP="005375E7">
            <w:pPr>
              <w:spacing w:after="0" w:line="240" w:lineRule="auto"/>
              <w:rPr>
                <w:rFonts w:ascii="Arial" w:eastAsia="Times New Roman" w:hAnsi="Arial" w:cs="Arial"/>
                <w:b/>
                <w:bCs/>
                <w:color w:val="000000"/>
                <w:sz w:val="14"/>
                <w:szCs w:val="14"/>
              </w:rPr>
            </w:pPr>
            <w:r>
              <w:br w:type="page"/>
            </w:r>
            <w:r>
              <w:rPr>
                <w:rFonts w:ascii="Arial" w:eastAsia="Times New Roman" w:hAnsi="Arial" w:cs="Arial"/>
                <w:b/>
                <w:bCs/>
                <w:color w:val="000000"/>
                <w:sz w:val="14"/>
                <w:szCs w:val="14"/>
              </w:rPr>
              <w:t>Table A3c</w:t>
            </w:r>
            <w:r w:rsidRPr="00880020">
              <w:rPr>
                <w:rFonts w:ascii="Arial" w:eastAsia="Times New Roman" w:hAnsi="Arial" w:cs="Arial"/>
                <w:b/>
                <w:bCs/>
                <w:color w:val="000000"/>
                <w:sz w:val="14"/>
                <w:szCs w:val="14"/>
              </w:rPr>
              <w:t xml:space="preserve">. Market income and government transfer income of </w:t>
            </w:r>
            <w:r>
              <w:rPr>
                <w:rFonts w:ascii="Arial" w:eastAsia="Times New Roman" w:hAnsi="Arial" w:cs="Arial"/>
                <w:b/>
                <w:bCs/>
                <w:color w:val="000000"/>
                <w:sz w:val="14"/>
                <w:szCs w:val="14"/>
              </w:rPr>
              <w:t xml:space="preserve">adults (16 years+) without disabilities and incomes above the after-tax LICO, by gender and age group </w:t>
            </w:r>
            <w:r w:rsidRPr="00880020">
              <w:rPr>
                <w:rFonts w:ascii="Arial" w:eastAsia="Times New Roman" w:hAnsi="Arial" w:cs="Arial"/>
                <w:b/>
                <w:bCs/>
                <w:color w:val="000000"/>
                <w:sz w:val="14"/>
                <w:szCs w:val="14"/>
              </w:rPr>
              <w:t>(Source: SLID 2009 PUMF)</w:t>
            </w:r>
          </w:p>
        </w:tc>
      </w:tr>
      <w:tr w:rsidR="00E46B55" w:rsidRPr="00880020"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E46B55" w:rsidRPr="00880020" w:rsidRDefault="00E46B55" w:rsidP="005375E7">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E46B55" w:rsidRPr="00880020" w:rsidTr="005375E7">
        <w:trPr>
          <w:trHeight w:val="20"/>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73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92"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183B54" w:rsidP="005375E7">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E46B55"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E46B55" w:rsidRPr="00880020" w:rsidTr="005375E7">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E46B55" w:rsidRPr="00CB3451" w:rsidRDefault="00E46B55" w:rsidP="005375E7">
            <w:pPr>
              <w:spacing w:after="0" w:line="240" w:lineRule="auto"/>
              <w:jc w:val="both"/>
              <w:rPr>
                <w:rFonts w:ascii="Arial" w:eastAsia="Times New Roman" w:hAnsi="Arial" w:cs="Arial"/>
                <w:b/>
                <w:bCs/>
                <w:color w:val="000000"/>
                <w:sz w:val="14"/>
                <w:szCs w:val="14"/>
              </w:rPr>
            </w:pPr>
            <w:r>
              <w:rPr>
                <w:rFonts w:ascii="Arial" w:eastAsia="Times New Roman" w:hAnsi="Arial" w:cs="Arial"/>
                <w:b/>
                <w:bCs/>
                <w:color w:val="000000"/>
                <w:sz w:val="14"/>
                <w:szCs w:val="14"/>
              </w:rPr>
              <w:t xml:space="preserve">Adults </w:t>
            </w:r>
            <w:r w:rsidRPr="00880020">
              <w:rPr>
                <w:rFonts w:ascii="Arial" w:eastAsia="Times New Roman" w:hAnsi="Arial" w:cs="Arial"/>
                <w:b/>
                <w:bCs/>
                <w:color w:val="000000"/>
                <w:sz w:val="14"/>
                <w:szCs w:val="14"/>
              </w:rPr>
              <w:t>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and incomes </w:t>
            </w:r>
            <w:r w:rsidR="00760458">
              <w:rPr>
                <w:rFonts w:ascii="Arial" w:eastAsia="Times New Roman" w:hAnsi="Arial" w:cs="Arial"/>
                <w:b/>
                <w:bCs/>
                <w:color w:val="000000"/>
                <w:sz w:val="14"/>
                <w:szCs w:val="14"/>
              </w:rPr>
              <w:t xml:space="preserve">at or </w:t>
            </w:r>
            <w:r>
              <w:rPr>
                <w:rFonts w:ascii="Arial" w:eastAsia="Times New Roman" w:hAnsi="Arial" w:cs="Arial"/>
                <w:b/>
                <w:bCs/>
                <w:color w:val="000000"/>
                <w:sz w:val="14"/>
                <w:szCs w:val="14"/>
              </w:rPr>
              <w:t>above the LICO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E46B55" w:rsidRPr="00891AB4"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3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$738</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$22,172</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$270</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$764</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$26</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$76</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$56</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$23,491</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$1,175</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$24,667</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$4,417</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$52,199</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$998</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$578</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$59</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$1,120</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$117</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$62</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$119</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$58,247</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$1,590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$59,837</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$4,385</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$54,538</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$552</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$1,881</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$749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$48</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$1,157</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$35</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$65</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$40</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$62,127</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$1,589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$63,716</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$6,675</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$38,801</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$7,934</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$2,917</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$1,625</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$1,403</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$31</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$1,025</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$313</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$17</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$23</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$57,954</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$2,905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$60,859</w:t>
            </w:r>
          </w:p>
        </w:tc>
      </w:tr>
      <w:tr w:rsidR="00E46B55" w:rsidRPr="00A743F6" w:rsidTr="005375E7">
        <w:trPr>
          <w:trHeight w:val="20"/>
        </w:trPr>
        <w:tc>
          <w:tcPr>
            <w:tcW w:w="1188" w:type="dxa"/>
            <w:tcBorders>
              <w:top w:val="nil"/>
              <w:left w:val="single" w:sz="12" w:space="0" w:color="000000"/>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$2,399</w:t>
            </w:r>
          </w:p>
        </w:tc>
        <w:tc>
          <w:tcPr>
            <w:tcW w:w="792"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$3,454</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$15,549</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$3,302</w:t>
            </w:r>
          </w:p>
        </w:tc>
        <w:tc>
          <w:tcPr>
            <w:tcW w:w="738"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792"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$634</w:t>
            </w:r>
          </w:p>
        </w:tc>
        <w:tc>
          <w:tcPr>
            <w:tcW w:w="720" w:type="dxa"/>
            <w:tcBorders>
              <w:top w:val="nil"/>
              <w:left w:val="single" w:sz="12" w:space="0" w:color="000000"/>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$7,024</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$6,312</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$184</w:t>
            </w:r>
          </w:p>
        </w:tc>
        <w:tc>
          <w:tcPr>
            <w:tcW w:w="648"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$317</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$23</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w:t>
            </w:r>
          </w:p>
        </w:tc>
        <w:tc>
          <w:tcPr>
            <w:tcW w:w="720"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$131</w:t>
            </w:r>
          </w:p>
        </w:tc>
        <w:tc>
          <w:tcPr>
            <w:tcW w:w="810" w:type="dxa"/>
            <w:tcBorders>
              <w:top w:val="nil"/>
              <w:left w:val="single" w:sz="4" w:space="0" w:color="000000"/>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$189</w:t>
            </w:r>
          </w:p>
        </w:tc>
        <w:tc>
          <w:tcPr>
            <w:tcW w:w="810"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$25,338</w:t>
            </w:r>
          </w:p>
        </w:tc>
        <w:tc>
          <w:tcPr>
            <w:tcW w:w="810" w:type="dxa"/>
            <w:tcBorders>
              <w:top w:val="nil"/>
              <w:left w:val="single" w:sz="4" w:space="0" w:color="000000"/>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$14,184</w:t>
            </w:r>
          </w:p>
        </w:tc>
        <w:tc>
          <w:tcPr>
            <w:tcW w:w="810" w:type="dxa"/>
            <w:tcBorders>
              <w:top w:val="nil"/>
              <w:left w:val="single" w:sz="4" w:space="0" w:color="000000"/>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$39,521</w:t>
            </w:r>
          </w:p>
        </w:tc>
      </w:tr>
      <w:tr w:rsidR="00E46B55" w:rsidRPr="00A743F6"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$3,481</w:t>
            </w:r>
          </w:p>
        </w:tc>
        <w:tc>
          <w:tcPr>
            <w:tcW w:w="792"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$37,631</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$2,752</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$1,453</w:t>
            </w:r>
          </w:p>
        </w:tc>
        <w:tc>
          <w:tcPr>
            <w:tcW w:w="73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w:t>
            </w:r>
          </w:p>
        </w:tc>
        <w:tc>
          <w:tcPr>
            <w:tcW w:w="792"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$675</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$31</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$928</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$655</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$921</w:t>
            </w:r>
          </w:p>
        </w:tc>
        <w:tc>
          <w:tcPr>
            <w:tcW w:w="64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$147</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$48</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w:t>
            </w:r>
          </w:p>
        </w:tc>
        <w:tc>
          <w:tcPr>
            <w:tcW w:w="72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$99</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$82</w:t>
            </w:r>
          </w:p>
        </w:tc>
        <w:tc>
          <w:tcPr>
            <w:tcW w:w="81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$45,999</w:t>
            </w:r>
          </w:p>
        </w:tc>
        <w:tc>
          <w:tcPr>
            <w:tcW w:w="810" w:type="dxa"/>
            <w:tcBorders>
              <w:top w:val="nil"/>
              <w:left w:val="single" w:sz="4" w:space="0" w:color="000000"/>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$2,945</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$48,943</w:t>
            </w:r>
          </w:p>
        </w:tc>
      </w:tr>
      <w:tr w:rsidR="00E46B55" w:rsidRPr="00A743F6"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nil"/>
              <w:left w:val="single" w:sz="4" w:space="0" w:color="000000"/>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r>
      <w:tr w:rsidR="00E46B55" w:rsidRPr="00A743F6" w:rsidTr="005375E7">
        <w:trPr>
          <w:trHeight w:val="20"/>
        </w:trPr>
        <w:tc>
          <w:tcPr>
            <w:tcW w:w="1188" w:type="dxa"/>
            <w:tcBorders>
              <w:top w:val="single" w:sz="4" w:space="0" w:color="auto"/>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38"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648"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single" w:sz="4" w:space="0" w:color="auto"/>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$632</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$15,942</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$393</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$56</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$305</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$446</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$25</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$856</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$57</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$161</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$70</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$244</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$17,332</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$1,997</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$19,328</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$2,020</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$32,887</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$766</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$417</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$276</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$1,675</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$1,564</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$225</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$79</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$480</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$36,377</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$4,123</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$40,499</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$2,470</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$38,000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$228</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$1,271</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$369</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$568</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$644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$159</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$625</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$97</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$67</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$61</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$36</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$42,906</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$1,707</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$44,613</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$2,488</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$20,970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$3,903</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$2,349</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$195</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$1,346</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$1,273</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$163</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$454</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$138</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$35</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$31,251</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$2,298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$33,549</w:t>
            </w:r>
          </w:p>
        </w:tc>
      </w:tr>
      <w:tr w:rsidR="00E46B55" w:rsidRPr="00A743F6" w:rsidTr="005375E7">
        <w:trPr>
          <w:trHeight w:val="20"/>
        </w:trPr>
        <w:tc>
          <w:tcPr>
            <w:tcW w:w="1188" w:type="dxa"/>
            <w:tcBorders>
              <w:top w:val="nil"/>
              <w:left w:val="single" w:sz="12" w:space="0" w:color="000000"/>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$235</w:t>
            </w:r>
          </w:p>
        </w:tc>
        <w:tc>
          <w:tcPr>
            <w:tcW w:w="792"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$1,591</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$8,493</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$2,929</w:t>
            </w:r>
          </w:p>
        </w:tc>
        <w:tc>
          <w:tcPr>
            <w:tcW w:w="738"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$192</w:t>
            </w:r>
          </w:p>
        </w:tc>
        <w:tc>
          <w:tcPr>
            <w:tcW w:w="792"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$428</w:t>
            </w:r>
          </w:p>
        </w:tc>
        <w:tc>
          <w:tcPr>
            <w:tcW w:w="720" w:type="dxa"/>
            <w:tcBorders>
              <w:top w:val="nil"/>
              <w:left w:val="single" w:sz="12" w:space="0" w:color="000000"/>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$5,406</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$6,882</w:t>
            </w:r>
          </w:p>
        </w:tc>
        <w:tc>
          <w:tcPr>
            <w:tcW w:w="81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$33</w:t>
            </w:r>
          </w:p>
        </w:tc>
        <w:tc>
          <w:tcPr>
            <w:tcW w:w="648"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$78</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$75</w:t>
            </w:r>
          </w:p>
        </w:tc>
        <w:tc>
          <w:tcPr>
            <w:tcW w:w="720" w:type="dxa"/>
            <w:tcBorders>
              <w:top w:val="nil"/>
              <w:left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w:t>
            </w:r>
          </w:p>
        </w:tc>
        <w:tc>
          <w:tcPr>
            <w:tcW w:w="720"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$122</w:t>
            </w:r>
          </w:p>
        </w:tc>
        <w:tc>
          <w:tcPr>
            <w:tcW w:w="810" w:type="dxa"/>
            <w:tcBorders>
              <w:top w:val="nil"/>
              <w:left w:val="single" w:sz="4" w:space="0" w:color="000000"/>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$218</w:t>
            </w:r>
          </w:p>
        </w:tc>
        <w:tc>
          <w:tcPr>
            <w:tcW w:w="810" w:type="dxa"/>
            <w:tcBorders>
              <w:top w:val="nil"/>
              <w:left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$13,868</w:t>
            </w:r>
          </w:p>
        </w:tc>
        <w:tc>
          <w:tcPr>
            <w:tcW w:w="810" w:type="dxa"/>
            <w:tcBorders>
              <w:top w:val="nil"/>
              <w:left w:val="single" w:sz="4" w:space="0" w:color="000000"/>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$12,819</w:t>
            </w:r>
          </w:p>
        </w:tc>
        <w:tc>
          <w:tcPr>
            <w:tcW w:w="810" w:type="dxa"/>
            <w:tcBorders>
              <w:top w:val="nil"/>
              <w:left w:val="single" w:sz="4" w:space="0" w:color="000000"/>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$26,687</w:t>
            </w:r>
          </w:p>
        </w:tc>
      </w:tr>
      <w:tr w:rsidR="00E46B55" w:rsidRPr="00A743F6"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$1,602</w:t>
            </w:r>
          </w:p>
        </w:tc>
        <w:tc>
          <w:tcPr>
            <w:tcW w:w="792"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$24,362</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$1,486</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$1,207</w:t>
            </w:r>
          </w:p>
        </w:tc>
        <w:tc>
          <w:tcPr>
            <w:tcW w:w="73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$257</w:t>
            </w:r>
          </w:p>
        </w:tc>
        <w:tc>
          <w:tcPr>
            <w:tcW w:w="792"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$497</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$753</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$797</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$773</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$879</w:t>
            </w:r>
          </w:p>
        </w:tc>
        <w:tc>
          <w:tcPr>
            <w:tcW w:w="64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$73</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$149</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w:t>
            </w:r>
          </w:p>
        </w:tc>
        <w:tc>
          <w:tcPr>
            <w:tcW w:w="72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$93</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$244</w:t>
            </w:r>
          </w:p>
        </w:tc>
        <w:tc>
          <w:tcPr>
            <w:tcW w:w="81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$29,413</w:t>
            </w:r>
          </w:p>
        </w:tc>
        <w:tc>
          <w:tcPr>
            <w:tcW w:w="810" w:type="dxa"/>
            <w:tcBorders>
              <w:top w:val="nil"/>
              <w:left w:val="single" w:sz="4" w:space="0" w:color="000000"/>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$3,794</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$33,207</w:t>
            </w:r>
          </w:p>
        </w:tc>
      </w:tr>
      <w:tr w:rsidR="00E46B55" w:rsidRPr="00A743F6"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nil"/>
              <w:left w:val="single" w:sz="4" w:space="0" w:color="000000"/>
              <w:bottom w:val="single" w:sz="4"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r>
      <w:tr w:rsidR="00E46B55" w:rsidRPr="00A743F6" w:rsidTr="005375E7">
        <w:trPr>
          <w:trHeight w:val="20"/>
        </w:trPr>
        <w:tc>
          <w:tcPr>
            <w:tcW w:w="1188" w:type="dxa"/>
            <w:tcBorders>
              <w:top w:val="single" w:sz="4" w:space="0" w:color="auto"/>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38"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92"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648"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720"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 </w:t>
            </w:r>
          </w:p>
        </w:tc>
        <w:tc>
          <w:tcPr>
            <w:tcW w:w="810" w:type="dxa"/>
            <w:tcBorders>
              <w:top w:val="single" w:sz="4" w:space="0" w:color="auto"/>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single" w:sz="4" w:space="0" w:color="auto"/>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 </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$686</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$19,079</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$331</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$28</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$302</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$227</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$810</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$42</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$112</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$73</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$146</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$149</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$20,433</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$1,583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$22,017</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$3,216</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$42,520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$882</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$212</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$427</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$869</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$1,342</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$90</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$143</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$27</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$300</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$47,286</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$2,859</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$50,145</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$3,418</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$46,188</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$388</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$1,573</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$197</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$658</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$349</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$112</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$889</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$130</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$51</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$17</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$38</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$52,423</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$1,649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$54,072</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$4,553</w:t>
            </w:r>
          </w:p>
        </w:tc>
        <w:tc>
          <w:tcPr>
            <w:tcW w:w="792"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$29,765</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$5,892</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$2,629</w:t>
            </w:r>
          </w:p>
        </w:tc>
        <w:tc>
          <w:tcPr>
            <w:tcW w:w="73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$100</w:t>
            </w:r>
          </w:p>
        </w:tc>
        <w:tc>
          <w:tcPr>
            <w:tcW w:w="792"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$1,484</w:t>
            </w:r>
          </w:p>
        </w:tc>
        <w:tc>
          <w:tcPr>
            <w:tcW w:w="720" w:type="dxa"/>
            <w:tcBorders>
              <w:top w:val="nil"/>
              <w:left w:val="single" w:sz="12" w:space="0" w:color="000000"/>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$41</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$1,337</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$98</w:t>
            </w:r>
          </w:p>
        </w:tc>
        <w:tc>
          <w:tcPr>
            <w:tcW w:w="81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$736</w:t>
            </w:r>
          </w:p>
        </w:tc>
        <w:tc>
          <w:tcPr>
            <w:tcW w:w="648"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$197</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$78</w:t>
            </w:r>
          </w:p>
        </w:tc>
        <w:tc>
          <w:tcPr>
            <w:tcW w:w="720" w:type="dxa"/>
            <w:tcBorders>
              <w:top w:val="nil"/>
              <w:left w:val="nil"/>
              <w:bottom w:val="nil"/>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$22</w:t>
            </w:r>
          </w:p>
        </w:tc>
        <w:tc>
          <w:tcPr>
            <w:tcW w:w="72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$32</w:t>
            </w:r>
          </w:p>
        </w:tc>
        <w:tc>
          <w:tcPr>
            <w:tcW w:w="810" w:type="dxa"/>
            <w:tcBorders>
              <w:top w:val="nil"/>
              <w:left w:val="nil"/>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$44,423</w:t>
            </w:r>
          </w:p>
        </w:tc>
        <w:tc>
          <w:tcPr>
            <w:tcW w:w="810" w:type="dxa"/>
            <w:tcBorders>
              <w:top w:val="nil"/>
              <w:left w:val="single" w:sz="4" w:space="0" w:color="000000"/>
              <w:bottom w:val="nil"/>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$2,598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$47,020</w:t>
            </w:r>
          </w:p>
        </w:tc>
      </w:tr>
      <w:tr w:rsidR="00E46B55" w:rsidRPr="00A743F6"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$1,279</w:t>
            </w:r>
          </w:p>
        </w:tc>
        <w:tc>
          <w:tcPr>
            <w:tcW w:w="792"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$2,491</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$11,899</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$3,109</w:t>
            </w:r>
          </w:p>
        </w:tc>
        <w:tc>
          <w:tcPr>
            <w:tcW w:w="73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$100</w:t>
            </w:r>
          </w:p>
        </w:tc>
        <w:tc>
          <w:tcPr>
            <w:tcW w:w="792"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$528</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$6,187</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$6,607</w:t>
            </w:r>
          </w:p>
        </w:tc>
        <w:tc>
          <w:tcPr>
            <w:tcW w:w="81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$106</w:t>
            </w:r>
          </w:p>
        </w:tc>
        <w:tc>
          <w:tcPr>
            <w:tcW w:w="648"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$194</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$50</w:t>
            </w:r>
          </w:p>
        </w:tc>
        <w:tc>
          <w:tcPr>
            <w:tcW w:w="720" w:type="dxa"/>
            <w:tcBorders>
              <w:top w:val="nil"/>
              <w:left w:val="nil"/>
              <w:bottom w:val="nil"/>
              <w:right w:val="single" w:sz="4"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w:t>
            </w:r>
          </w:p>
        </w:tc>
        <w:tc>
          <w:tcPr>
            <w:tcW w:w="72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$126</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$204</w:t>
            </w:r>
          </w:p>
        </w:tc>
        <w:tc>
          <w:tcPr>
            <w:tcW w:w="810" w:type="dxa"/>
            <w:tcBorders>
              <w:top w:val="nil"/>
              <w:left w:val="nil"/>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$19,405</w:t>
            </w:r>
          </w:p>
        </w:tc>
        <w:tc>
          <w:tcPr>
            <w:tcW w:w="810" w:type="dxa"/>
            <w:tcBorders>
              <w:top w:val="nil"/>
              <w:left w:val="single" w:sz="4" w:space="0" w:color="000000"/>
              <w:bottom w:val="nil"/>
              <w:right w:val="nil"/>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$13,478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$32,883</w:t>
            </w:r>
          </w:p>
        </w:tc>
      </w:tr>
      <w:tr w:rsidR="00E46B55" w:rsidRPr="00880020" w:rsidTr="005375E7">
        <w:trPr>
          <w:trHeight w:val="20"/>
        </w:trPr>
        <w:tc>
          <w:tcPr>
            <w:tcW w:w="1188" w:type="dxa"/>
            <w:tcBorders>
              <w:top w:val="nil"/>
              <w:left w:val="single" w:sz="12" w:space="0" w:color="000000"/>
              <w:bottom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$2,536</w:t>
            </w:r>
          </w:p>
        </w:tc>
        <w:tc>
          <w:tcPr>
            <w:tcW w:w="792"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$30,957</w:t>
            </w:r>
          </w:p>
        </w:tc>
        <w:tc>
          <w:tcPr>
            <w:tcW w:w="81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$2,115</w:t>
            </w:r>
          </w:p>
        </w:tc>
        <w:tc>
          <w:tcPr>
            <w:tcW w:w="81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$1,330</w:t>
            </w:r>
          </w:p>
        </w:tc>
        <w:tc>
          <w:tcPr>
            <w:tcW w:w="738"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$133</w:t>
            </w:r>
          </w:p>
        </w:tc>
        <w:tc>
          <w:tcPr>
            <w:tcW w:w="792" w:type="dxa"/>
            <w:tcBorders>
              <w:top w:val="nil"/>
              <w:left w:val="nil"/>
              <w:bottom w:val="single" w:sz="12"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$586</w:t>
            </w:r>
          </w:p>
        </w:tc>
        <w:tc>
          <w:tcPr>
            <w:tcW w:w="720" w:type="dxa"/>
            <w:tcBorders>
              <w:top w:val="nil"/>
              <w:left w:val="single" w:sz="12" w:space="0" w:color="000000"/>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$394</w:t>
            </w:r>
          </w:p>
        </w:tc>
        <w:tc>
          <w:tcPr>
            <w:tcW w:w="72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$862</w:t>
            </w:r>
          </w:p>
        </w:tc>
        <w:tc>
          <w:tcPr>
            <w:tcW w:w="72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$714</w:t>
            </w:r>
          </w:p>
        </w:tc>
        <w:tc>
          <w:tcPr>
            <w:tcW w:w="81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$900</w:t>
            </w:r>
          </w:p>
        </w:tc>
        <w:tc>
          <w:tcPr>
            <w:tcW w:w="648"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$110</w:t>
            </w:r>
          </w:p>
        </w:tc>
        <w:tc>
          <w:tcPr>
            <w:tcW w:w="72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$99</w:t>
            </w:r>
          </w:p>
        </w:tc>
        <w:tc>
          <w:tcPr>
            <w:tcW w:w="720" w:type="dxa"/>
            <w:tcBorders>
              <w:top w:val="nil"/>
              <w:left w:val="nil"/>
              <w:bottom w:val="single" w:sz="12" w:space="0" w:color="auto"/>
              <w:right w:val="single" w:sz="4"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$34</w:t>
            </w:r>
          </w:p>
        </w:tc>
        <w:tc>
          <w:tcPr>
            <w:tcW w:w="720" w:type="dxa"/>
            <w:tcBorders>
              <w:top w:val="nil"/>
              <w:left w:val="nil"/>
              <w:bottom w:val="single" w:sz="12"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$96</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color w:val="000000"/>
                <w:sz w:val="14"/>
                <w:szCs w:val="14"/>
              </w:rPr>
            </w:pPr>
            <w:r w:rsidRPr="00303778">
              <w:rPr>
                <w:rFonts w:ascii="Arial" w:hAnsi="Arial" w:cs="Arial"/>
                <w:color w:val="000000"/>
                <w:sz w:val="14"/>
                <w:szCs w:val="14"/>
              </w:rPr>
              <w:t>$163</w:t>
            </w:r>
          </w:p>
        </w:tc>
        <w:tc>
          <w:tcPr>
            <w:tcW w:w="810" w:type="dxa"/>
            <w:tcBorders>
              <w:top w:val="nil"/>
              <w:left w:val="nil"/>
              <w:bottom w:val="single" w:sz="12"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$37,655</w:t>
            </w:r>
          </w:p>
        </w:tc>
        <w:tc>
          <w:tcPr>
            <w:tcW w:w="810" w:type="dxa"/>
            <w:tcBorders>
              <w:top w:val="nil"/>
              <w:left w:val="single" w:sz="4" w:space="0" w:color="000000"/>
              <w:bottom w:val="single" w:sz="12" w:space="0" w:color="auto"/>
              <w:right w:val="nil"/>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$3,372</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E46B55" w:rsidRPr="00303778" w:rsidRDefault="00E46B55" w:rsidP="005375E7">
            <w:pPr>
              <w:spacing w:after="0" w:line="240" w:lineRule="auto"/>
              <w:jc w:val="right"/>
              <w:rPr>
                <w:rFonts w:ascii="Arial" w:hAnsi="Arial" w:cs="Arial"/>
                <w:b/>
                <w:bCs/>
                <w:color w:val="000000"/>
                <w:sz w:val="14"/>
                <w:szCs w:val="14"/>
              </w:rPr>
            </w:pPr>
            <w:r w:rsidRPr="00303778">
              <w:rPr>
                <w:rFonts w:ascii="Arial" w:hAnsi="Arial" w:cs="Arial"/>
                <w:b/>
                <w:bCs/>
                <w:color w:val="000000"/>
                <w:sz w:val="14"/>
                <w:szCs w:val="14"/>
              </w:rPr>
              <w:t>$41,027</w:t>
            </w:r>
          </w:p>
        </w:tc>
      </w:tr>
      <w:tr w:rsidR="00760458" w:rsidRPr="00880020" w:rsidTr="00022204">
        <w:trPr>
          <w:trHeight w:val="20"/>
        </w:trPr>
        <w:tc>
          <w:tcPr>
            <w:tcW w:w="6570" w:type="dxa"/>
            <w:gridSpan w:val="8"/>
            <w:tcBorders>
              <w:top w:val="single" w:sz="12" w:space="0" w:color="auto"/>
              <w:left w:val="single" w:sz="12" w:space="0" w:color="auto"/>
              <w:bottom w:val="single" w:sz="12" w:space="0" w:color="auto"/>
              <w:right w:val="single" w:sz="4" w:space="0" w:color="000000"/>
            </w:tcBorders>
            <w:shd w:val="clear" w:color="auto" w:fill="auto"/>
          </w:tcPr>
          <w:p w:rsidR="00760458" w:rsidRPr="00880020" w:rsidRDefault="00760458" w:rsidP="00760458">
            <w:pPr>
              <w:spacing w:after="0" w:line="240" w:lineRule="auto"/>
              <w:rPr>
                <w:rFonts w:ascii="Arial" w:eastAsia="Times New Roman" w:hAnsi="Arial" w:cs="Arial"/>
                <w:color w:val="000000"/>
                <w:sz w:val="14"/>
                <w:szCs w:val="14"/>
              </w:rPr>
            </w:pPr>
            <w:r>
              <w:rPr>
                <w:rFonts w:ascii="Arial" w:eastAsia="Times New Roman" w:hAnsi="Arial" w:cs="Arial"/>
                <w:b/>
                <w:bCs/>
                <w:color w:val="000000"/>
                <w:sz w:val="14"/>
                <w:szCs w:val="14"/>
              </w:rPr>
              <w:t xml:space="preserve">Adults </w:t>
            </w:r>
            <w:r w:rsidRPr="00880020">
              <w:rPr>
                <w:rFonts w:ascii="Arial" w:eastAsia="Times New Roman" w:hAnsi="Arial" w:cs="Arial"/>
                <w:b/>
                <w:bCs/>
                <w:color w:val="000000"/>
                <w:sz w:val="14"/>
                <w:szCs w:val="14"/>
              </w:rPr>
              <w:t>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and incomes at or above the LICO – Showing % of total income</w:t>
            </w: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760458" w:rsidRPr="00880020" w:rsidRDefault="00760458" w:rsidP="005375E7">
            <w:pPr>
              <w:spacing w:after="0" w:line="240" w:lineRule="auto"/>
              <w:jc w:val="right"/>
              <w:rPr>
                <w:rFonts w:ascii="Arial" w:eastAsia="Times New Roman" w:hAnsi="Arial" w:cs="Arial"/>
                <w:b/>
                <w:bCs/>
                <w:color w:val="000000"/>
                <w:sz w:val="14"/>
                <w:szCs w:val="14"/>
              </w:rPr>
            </w:pPr>
          </w:p>
        </w:tc>
      </w:tr>
      <w:tr w:rsidR="00E46B55" w:rsidRPr="00891AB4"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hideMark/>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38"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nil"/>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hideMark/>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hideMark/>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017D27" w:rsidTr="005375E7">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3.0%</w:t>
            </w:r>
          </w:p>
        </w:tc>
        <w:tc>
          <w:tcPr>
            <w:tcW w:w="792"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89.9%</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1.1%</w:t>
            </w:r>
          </w:p>
        </w:tc>
        <w:tc>
          <w:tcPr>
            <w:tcW w:w="738"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1.2%</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3.1%</w:t>
            </w:r>
          </w:p>
        </w:tc>
        <w:tc>
          <w:tcPr>
            <w:tcW w:w="648"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95.2%</w:t>
            </w:r>
          </w:p>
        </w:tc>
        <w:tc>
          <w:tcPr>
            <w:tcW w:w="810" w:type="dxa"/>
            <w:tcBorders>
              <w:top w:val="nil"/>
              <w:left w:val="single" w:sz="4" w:space="0" w:color="000000"/>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4.8%</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7.4%</w:t>
            </w:r>
          </w:p>
        </w:tc>
        <w:tc>
          <w:tcPr>
            <w:tcW w:w="792"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87.2%</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1.7%</w:t>
            </w:r>
          </w:p>
        </w:tc>
        <w:tc>
          <w:tcPr>
            <w:tcW w:w="738"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1.0%</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1.9%</w:t>
            </w:r>
          </w:p>
        </w:tc>
        <w:tc>
          <w:tcPr>
            <w:tcW w:w="648"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97.3%</w:t>
            </w:r>
          </w:p>
        </w:tc>
        <w:tc>
          <w:tcPr>
            <w:tcW w:w="810" w:type="dxa"/>
            <w:tcBorders>
              <w:top w:val="nil"/>
              <w:left w:val="single" w:sz="4" w:space="0" w:color="000000"/>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2.7%</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6.9%</w:t>
            </w:r>
          </w:p>
        </w:tc>
        <w:tc>
          <w:tcPr>
            <w:tcW w:w="792"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85.6%</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0.9%</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3.0%</w:t>
            </w:r>
          </w:p>
        </w:tc>
        <w:tc>
          <w:tcPr>
            <w:tcW w:w="738"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1.2%</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1.8%</w:t>
            </w:r>
          </w:p>
        </w:tc>
        <w:tc>
          <w:tcPr>
            <w:tcW w:w="648"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nil"/>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97.5%</w:t>
            </w:r>
          </w:p>
        </w:tc>
        <w:tc>
          <w:tcPr>
            <w:tcW w:w="810" w:type="dxa"/>
            <w:tcBorders>
              <w:top w:val="nil"/>
              <w:left w:val="single" w:sz="4" w:space="0" w:color="000000"/>
              <w:bottom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2.5%</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11.0%</w:t>
            </w:r>
          </w:p>
        </w:tc>
        <w:tc>
          <w:tcPr>
            <w:tcW w:w="792"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63.8%</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13.0%</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4.8%</w:t>
            </w:r>
          </w:p>
        </w:tc>
        <w:tc>
          <w:tcPr>
            <w:tcW w:w="738"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2.7%</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2.3%</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1.7%</w:t>
            </w:r>
          </w:p>
        </w:tc>
        <w:tc>
          <w:tcPr>
            <w:tcW w:w="648"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95.2%</w:t>
            </w:r>
          </w:p>
        </w:tc>
        <w:tc>
          <w:tcPr>
            <w:tcW w:w="810" w:type="dxa"/>
            <w:tcBorders>
              <w:top w:val="nil"/>
              <w:left w:val="single" w:sz="4" w:space="0" w:color="000000"/>
              <w:bottom w:val="nil"/>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4.8%</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6.1%</w:t>
            </w:r>
          </w:p>
        </w:tc>
        <w:tc>
          <w:tcPr>
            <w:tcW w:w="792"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8.7%</w:t>
            </w:r>
          </w:p>
        </w:tc>
        <w:tc>
          <w:tcPr>
            <w:tcW w:w="81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39.3%</w:t>
            </w:r>
          </w:p>
        </w:tc>
        <w:tc>
          <w:tcPr>
            <w:tcW w:w="81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8.4%</w:t>
            </w:r>
          </w:p>
        </w:tc>
        <w:tc>
          <w:tcPr>
            <w:tcW w:w="738"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720" w:type="dxa"/>
            <w:tcBorders>
              <w:top w:val="nil"/>
              <w:left w:val="single" w:sz="12" w:space="0" w:color="000000"/>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17.8%</w:t>
            </w:r>
          </w:p>
        </w:tc>
        <w:tc>
          <w:tcPr>
            <w:tcW w:w="72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16.0%</w:t>
            </w:r>
          </w:p>
        </w:tc>
        <w:tc>
          <w:tcPr>
            <w:tcW w:w="81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648"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0.8%</w:t>
            </w:r>
          </w:p>
        </w:tc>
        <w:tc>
          <w:tcPr>
            <w:tcW w:w="72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810" w:type="dxa"/>
            <w:tcBorders>
              <w:top w:val="nil"/>
              <w:left w:val="single" w:sz="4" w:space="0" w:color="000000"/>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810" w:type="dxa"/>
            <w:tcBorders>
              <w:top w:val="nil"/>
              <w:left w:val="nil"/>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64.1%</w:t>
            </w:r>
          </w:p>
        </w:tc>
        <w:tc>
          <w:tcPr>
            <w:tcW w:w="810" w:type="dxa"/>
            <w:tcBorders>
              <w:top w:val="nil"/>
              <w:left w:val="single" w:sz="4" w:space="0" w:color="000000"/>
              <w:right w:val="nil"/>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35.9%</w:t>
            </w:r>
          </w:p>
        </w:tc>
        <w:tc>
          <w:tcPr>
            <w:tcW w:w="810" w:type="dxa"/>
            <w:tcBorders>
              <w:top w:val="nil"/>
              <w:left w:val="single" w:sz="4" w:space="0" w:color="000000"/>
              <w:right w:val="single" w:sz="12" w:space="0" w:color="000000"/>
            </w:tcBorders>
            <w:shd w:val="clear" w:color="auto" w:fill="B6DDE8"/>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7.1%</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76.9%</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5.6%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3.0%</w:t>
            </w:r>
          </w:p>
        </w:tc>
        <w:tc>
          <w:tcPr>
            <w:tcW w:w="738"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92" w:type="dxa"/>
            <w:tcBorders>
              <w:top w:val="nil"/>
              <w:left w:val="nil"/>
              <w:bottom w:val="single" w:sz="4" w:space="0" w:color="auto"/>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1.9%</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1.3%</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1.9%</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bottom w:val="single" w:sz="4" w:space="0" w:color="auto"/>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top w:val="nil"/>
              <w:left w:val="nil"/>
              <w:bottom w:val="single" w:sz="4" w:space="0" w:color="auto"/>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94.0%</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6.0%</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nil"/>
              <w:left w:val="single" w:sz="4" w:space="0" w:color="000000"/>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r>
      <w:tr w:rsidR="00E46B55" w:rsidRPr="00017D27" w:rsidTr="005375E7">
        <w:trPr>
          <w:trHeight w:val="20"/>
        </w:trPr>
        <w:tc>
          <w:tcPr>
            <w:tcW w:w="1188" w:type="dxa"/>
            <w:tcBorders>
              <w:top w:val="single" w:sz="4" w:space="0" w:color="auto"/>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38"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single" w:sz="4" w:space="0" w:color="auto"/>
              <w:left w:val="nil"/>
              <w:bottom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single" w:sz="12" w:space="0" w:color="000000"/>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648"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bottom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single" w:sz="4" w:space="0" w:color="auto"/>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single" w:sz="4" w:space="0" w:color="auto"/>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3.3%</w:t>
            </w:r>
          </w:p>
        </w:tc>
        <w:tc>
          <w:tcPr>
            <w:tcW w:w="792"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82.5%</w:t>
            </w:r>
          </w:p>
        </w:tc>
        <w:tc>
          <w:tcPr>
            <w:tcW w:w="81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2.0%</w:t>
            </w:r>
          </w:p>
        </w:tc>
        <w:tc>
          <w:tcPr>
            <w:tcW w:w="738"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92" w:type="dxa"/>
            <w:tcBorders>
              <w:top w:val="nil"/>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720" w:type="dxa"/>
            <w:tcBorders>
              <w:top w:val="nil"/>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2.3%</w:t>
            </w:r>
          </w:p>
        </w:tc>
        <w:tc>
          <w:tcPr>
            <w:tcW w:w="72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4.4%</w:t>
            </w:r>
          </w:p>
        </w:tc>
        <w:tc>
          <w:tcPr>
            <w:tcW w:w="648"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0.8%</w:t>
            </w:r>
          </w:p>
        </w:tc>
        <w:tc>
          <w:tcPr>
            <w:tcW w:w="720" w:type="dxa"/>
            <w:tcBorders>
              <w:top w:val="nil"/>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20" w:type="dxa"/>
            <w:tcBorders>
              <w:top w:val="nil"/>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810" w:type="dxa"/>
            <w:tcBorders>
              <w:top w:val="nil"/>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1.3%</w:t>
            </w:r>
          </w:p>
        </w:tc>
        <w:tc>
          <w:tcPr>
            <w:tcW w:w="810" w:type="dxa"/>
            <w:tcBorders>
              <w:top w:val="nil"/>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89.7%</w:t>
            </w:r>
          </w:p>
        </w:tc>
        <w:tc>
          <w:tcPr>
            <w:tcW w:w="810" w:type="dxa"/>
            <w:tcBorders>
              <w:top w:val="nil"/>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10.3%</w:t>
            </w:r>
          </w:p>
        </w:tc>
        <w:tc>
          <w:tcPr>
            <w:tcW w:w="810" w:type="dxa"/>
            <w:tcBorders>
              <w:top w:val="nil"/>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5.0%</w:t>
            </w:r>
          </w:p>
        </w:tc>
        <w:tc>
          <w:tcPr>
            <w:tcW w:w="792"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81.2%</w:t>
            </w:r>
          </w:p>
        </w:tc>
        <w:tc>
          <w:tcPr>
            <w:tcW w:w="81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1.9%</w:t>
            </w:r>
          </w:p>
        </w:tc>
        <w:tc>
          <w:tcPr>
            <w:tcW w:w="738"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1.0%</w:t>
            </w:r>
          </w:p>
        </w:tc>
        <w:tc>
          <w:tcPr>
            <w:tcW w:w="792" w:type="dxa"/>
            <w:tcBorders>
              <w:top w:val="nil"/>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720" w:type="dxa"/>
            <w:tcBorders>
              <w:top w:val="nil"/>
              <w:left w:val="single" w:sz="12" w:space="0" w:color="000000"/>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4.1%</w:t>
            </w:r>
          </w:p>
        </w:tc>
        <w:tc>
          <w:tcPr>
            <w:tcW w:w="72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3.9%</w:t>
            </w:r>
          </w:p>
        </w:tc>
        <w:tc>
          <w:tcPr>
            <w:tcW w:w="648"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720" w:type="dxa"/>
            <w:tcBorders>
              <w:top w:val="nil"/>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top w:val="nil"/>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top w:val="nil"/>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1.2%</w:t>
            </w:r>
          </w:p>
        </w:tc>
        <w:tc>
          <w:tcPr>
            <w:tcW w:w="81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89.8%</w:t>
            </w:r>
          </w:p>
        </w:tc>
        <w:tc>
          <w:tcPr>
            <w:tcW w:w="810" w:type="dxa"/>
            <w:tcBorders>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10.2%</w:t>
            </w:r>
          </w:p>
        </w:tc>
        <w:tc>
          <w:tcPr>
            <w:tcW w:w="810" w:type="dxa"/>
            <w:tcBorders>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5.5%</w:t>
            </w:r>
          </w:p>
        </w:tc>
        <w:tc>
          <w:tcPr>
            <w:tcW w:w="792"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85.2%</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2.8%</w:t>
            </w:r>
          </w:p>
        </w:tc>
        <w:tc>
          <w:tcPr>
            <w:tcW w:w="73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0.8%</w:t>
            </w:r>
          </w:p>
        </w:tc>
        <w:tc>
          <w:tcPr>
            <w:tcW w:w="792"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1.3%</w:t>
            </w:r>
          </w:p>
        </w:tc>
        <w:tc>
          <w:tcPr>
            <w:tcW w:w="720" w:type="dxa"/>
            <w:tcBorders>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64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96.2%</w:t>
            </w:r>
          </w:p>
        </w:tc>
        <w:tc>
          <w:tcPr>
            <w:tcW w:w="810" w:type="dxa"/>
            <w:tcBorders>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3.8%</w:t>
            </w:r>
          </w:p>
        </w:tc>
        <w:tc>
          <w:tcPr>
            <w:tcW w:w="810" w:type="dxa"/>
            <w:tcBorders>
              <w:left w:val="single" w:sz="4" w:space="0" w:color="000000"/>
              <w:right w:val="single" w:sz="12" w:space="0" w:color="auto"/>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7.4%</w:t>
            </w:r>
          </w:p>
        </w:tc>
        <w:tc>
          <w:tcPr>
            <w:tcW w:w="792"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62.5%</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11.6%</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7.0%</w:t>
            </w:r>
          </w:p>
        </w:tc>
        <w:tc>
          <w:tcPr>
            <w:tcW w:w="73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792"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4.0%</w:t>
            </w:r>
          </w:p>
        </w:tc>
        <w:tc>
          <w:tcPr>
            <w:tcW w:w="720" w:type="dxa"/>
            <w:tcBorders>
              <w:left w:val="single" w:sz="12" w:space="0" w:color="000000"/>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3.8%</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64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93.1%</w:t>
            </w:r>
          </w:p>
        </w:tc>
        <w:tc>
          <w:tcPr>
            <w:tcW w:w="810" w:type="dxa"/>
            <w:tcBorders>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6.9%</w:t>
            </w:r>
          </w:p>
        </w:tc>
        <w:tc>
          <w:tcPr>
            <w:tcW w:w="810" w:type="dxa"/>
            <w:tcBorders>
              <w:left w:val="single" w:sz="4" w:space="0" w:color="000000"/>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0.9%</w:t>
            </w:r>
          </w:p>
        </w:tc>
        <w:tc>
          <w:tcPr>
            <w:tcW w:w="792"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6.0%</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31.8%</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11.0%</w:t>
            </w:r>
          </w:p>
        </w:tc>
        <w:tc>
          <w:tcPr>
            <w:tcW w:w="73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792"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720" w:type="dxa"/>
            <w:tcBorders>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20.3%</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25.8%</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64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810" w:type="dxa"/>
            <w:tcBorders>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0.8%</w:t>
            </w:r>
          </w:p>
        </w:tc>
        <w:tc>
          <w:tcPr>
            <w:tcW w:w="81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52.0%</w:t>
            </w:r>
          </w:p>
        </w:tc>
        <w:tc>
          <w:tcPr>
            <w:tcW w:w="810" w:type="dxa"/>
            <w:tcBorders>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48.0%</w:t>
            </w:r>
          </w:p>
        </w:tc>
        <w:tc>
          <w:tcPr>
            <w:tcW w:w="810" w:type="dxa"/>
            <w:tcBorders>
              <w:left w:val="single" w:sz="4" w:space="0" w:color="000000"/>
              <w:right w:val="single" w:sz="12" w:space="0" w:color="auto"/>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4.8%</w:t>
            </w:r>
          </w:p>
        </w:tc>
        <w:tc>
          <w:tcPr>
            <w:tcW w:w="792"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73.4%</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4.5%</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3.6%</w:t>
            </w:r>
          </w:p>
        </w:tc>
        <w:tc>
          <w:tcPr>
            <w:tcW w:w="73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0.8%</w:t>
            </w:r>
          </w:p>
        </w:tc>
        <w:tc>
          <w:tcPr>
            <w:tcW w:w="792"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1.5%</w:t>
            </w:r>
          </w:p>
        </w:tc>
        <w:tc>
          <w:tcPr>
            <w:tcW w:w="720" w:type="dxa"/>
            <w:tcBorders>
              <w:left w:val="single" w:sz="12" w:space="0" w:color="000000"/>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2.3%</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2.4%</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2.3%</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2.6%</w:t>
            </w:r>
          </w:p>
        </w:tc>
        <w:tc>
          <w:tcPr>
            <w:tcW w:w="64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810" w:type="dxa"/>
            <w:tcBorders>
              <w:left w:val="single" w:sz="4" w:space="0" w:color="000000"/>
              <w:bottom w:val="single" w:sz="4" w:space="0" w:color="auto"/>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81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88.6%</w:t>
            </w:r>
          </w:p>
        </w:tc>
        <w:tc>
          <w:tcPr>
            <w:tcW w:w="810" w:type="dxa"/>
            <w:tcBorders>
              <w:left w:val="single" w:sz="4" w:space="0" w:color="000000"/>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11.4%</w:t>
            </w:r>
          </w:p>
        </w:tc>
        <w:tc>
          <w:tcPr>
            <w:tcW w:w="810" w:type="dxa"/>
            <w:tcBorders>
              <w:left w:val="single" w:sz="4" w:space="0" w:color="000000"/>
              <w:bottom w:val="single" w:sz="4" w:space="0" w:color="auto"/>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3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single" w:sz="12" w:space="0" w:color="000000"/>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64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left w:val="single" w:sz="4" w:space="0" w:color="000000"/>
              <w:bottom w:val="single" w:sz="4" w:space="0" w:color="auto"/>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left w:val="single" w:sz="4" w:space="0" w:color="000000"/>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left w:val="single" w:sz="4" w:space="0" w:color="000000"/>
              <w:bottom w:val="single" w:sz="4" w:space="0" w:color="auto"/>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r>
      <w:tr w:rsidR="00E46B55" w:rsidRPr="00017D27" w:rsidTr="005375E7">
        <w:trPr>
          <w:trHeight w:val="20"/>
        </w:trPr>
        <w:tc>
          <w:tcPr>
            <w:tcW w:w="1188" w:type="dxa"/>
            <w:tcBorders>
              <w:top w:val="single" w:sz="4" w:space="0" w:color="auto"/>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38"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92" w:type="dxa"/>
            <w:tcBorders>
              <w:top w:val="single" w:sz="4" w:space="0" w:color="auto"/>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single" w:sz="12" w:space="0" w:color="000000"/>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648"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720" w:type="dxa"/>
            <w:tcBorders>
              <w:top w:val="single" w:sz="4" w:space="0" w:color="auto"/>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 </w:t>
            </w:r>
          </w:p>
        </w:tc>
        <w:tc>
          <w:tcPr>
            <w:tcW w:w="810" w:type="dxa"/>
            <w:tcBorders>
              <w:top w:val="single" w:sz="4" w:space="0" w:color="auto"/>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single" w:sz="4" w:space="0" w:color="auto"/>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c>
          <w:tcPr>
            <w:tcW w:w="810" w:type="dxa"/>
            <w:tcBorders>
              <w:top w:val="single" w:sz="4" w:space="0" w:color="auto"/>
              <w:left w:val="single" w:sz="4" w:space="0" w:color="000000"/>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 </w:t>
            </w:r>
          </w:p>
        </w:tc>
      </w:tr>
      <w:tr w:rsidR="00E46B55" w:rsidRPr="00017D27"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3.1%</w:t>
            </w:r>
          </w:p>
        </w:tc>
        <w:tc>
          <w:tcPr>
            <w:tcW w:w="792"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86.7%</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1.5%</w:t>
            </w:r>
          </w:p>
        </w:tc>
        <w:tc>
          <w:tcPr>
            <w:tcW w:w="73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92"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720" w:type="dxa"/>
            <w:tcBorders>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1.0%</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3.7%</w:t>
            </w:r>
          </w:p>
        </w:tc>
        <w:tc>
          <w:tcPr>
            <w:tcW w:w="64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0.5%</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810" w:type="dxa"/>
            <w:tcBorders>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81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92.8%</w:t>
            </w:r>
          </w:p>
        </w:tc>
        <w:tc>
          <w:tcPr>
            <w:tcW w:w="810" w:type="dxa"/>
            <w:tcBorders>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7.2%</w:t>
            </w:r>
          </w:p>
        </w:tc>
        <w:tc>
          <w:tcPr>
            <w:tcW w:w="810" w:type="dxa"/>
            <w:tcBorders>
              <w:left w:val="single" w:sz="4" w:space="0" w:color="000000"/>
              <w:right w:val="single" w:sz="12" w:space="0" w:color="auto"/>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6.4%</w:t>
            </w:r>
          </w:p>
        </w:tc>
        <w:tc>
          <w:tcPr>
            <w:tcW w:w="792"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84.8%</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1.8%</w:t>
            </w:r>
          </w:p>
        </w:tc>
        <w:tc>
          <w:tcPr>
            <w:tcW w:w="73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92"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0.9%</w:t>
            </w:r>
          </w:p>
        </w:tc>
        <w:tc>
          <w:tcPr>
            <w:tcW w:w="720" w:type="dxa"/>
            <w:tcBorders>
              <w:left w:val="single" w:sz="12" w:space="0" w:color="000000"/>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1.7%</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2.7%</w:t>
            </w:r>
          </w:p>
        </w:tc>
        <w:tc>
          <w:tcPr>
            <w:tcW w:w="64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81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94.3%</w:t>
            </w:r>
          </w:p>
        </w:tc>
        <w:tc>
          <w:tcPr>
            <w:tcW w:w="810" w:type="dxa"/>
            <w:tcBorders>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5.7%</w:t>
            </w:r>
          </w:p>
        </w:tc>
        <w:tc>
          <w:tcPr>
            <w:tcW w:w="810" w:type="dxa"/>
            <w:tcBorders>
              <w:left w:val="single" w:sz="4" w:space="0" w:color="000000"/>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6.3%</w:t>
            </w:r>
          </w:p>
        </w:tc>
        <w:tc>
          <w:tcPr>
            <w:tcW w:w="792"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85.4%</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0.7%</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2.9%</w:t>
            </w:r>
          </w:p>
        </w:tc>
        <w:tc>
          <w:tcPr>
            <w:tcW w:w="73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92"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1.2%</w:t>
            </w:r>
          </w:p>
        </w:tc>
        <w:tc>
          <w:tcPr>
            <w:tcW w:w="720" w:type="dxa"/>
            <w:tcBorders>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64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97.0%</w:t>
            </w:r>
          </w:p>
        </w:tc>
        <w:tc>
          <w:tcPr>
            <w:tcW w:w="810" w:type="dxa"/>
            <w:tcBorders>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3.0%</w:t>
            </w:r>
          </w:p>
        </w:tc>
        <w:tc>
          <w:tcPr>
            <w:tcW w:w="810" w:type="dxa"/>
            <w:tcBorders>
              <w:left w:val="single" w:sz="4" w:space="0" w:color="000000"/>
              <w:right w:val="single" w:sz="12" w:space="0" w:color="auto"/>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9.7%</w:t>
            </w:r>
          </w:p>
        </w:tc>
        <w:tc>
          <w:tcPr>
            <w:tcW w:w="792"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63.3%</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12.5%</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5.6%</w:t>
            </w:r>
          </w:p>
        </w:tc>
        <w:tc>
          <w:tcPr>
            <w:tcW w:w="73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92"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3.2%</w:t>
            </w:r>
          </w:p>
        </w:tc>
        <w:tc>
          <w:tcPr>
            <w:tcW w:w="720" w:type="dxa"/>
            <w:tcBorders>
              <w:left w:val="single" w:sz="12" w:space="0" w:color="000000"/>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2.8%</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648"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single" w:sz="4" w:space="0" w:color="000000"/>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810" w:type="dxa"/>
            <w:tcBorders>
              <w:left w:val="nil"/>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94.5%</w:t>
            </w:r>
          </w:p>
        </w:tc>
        <w:tc>
          <w:tcPr>
            <w:tcW w:w="810" w:type="dxa"/>
            <w:tcBorders>
              <w:left w:val="single" w:sz="4" w:space="0" w:color="000000"/>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5.5%</w:t>
            </w:r>
          </w:p>
        </w:tc>
        <w:tc>
          <w:tcPr>
            <w:tcW w:w="810" w:type="dxa"/>
            <w:tcBorders>
              <w:left w:val="single" w:sz="4" w:space="0" w:color="000000"/>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3.9%</w:t>
            </w:r>
          </w:p>
        </w:tc>
        <w:tc>
          <w:tcPr>
            <w:tcW w:w="792"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7.6%</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36.2%</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9.5%</w:t>
            </w:r>
          </w:p>
        </w:tc>
        <w:tc>
          <w:tcPr>
            <w:tcW w:w="73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92"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1.6%</w:t>
            </w:r>
          </w:p>
        </w:tc>
        <w:tc>
          <w:tcPr>
            <w:tcW w:w="720" w:type="dxa"/>
            <w:tcBorders>
              <w:left w:val="single" w:sz="12" w:space="0" w:color="000000"/>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18.8%</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20.1%</w:t>
            </w:r>
          </w:p>
        </w:tc>
        <w:tc>
          <w:tcPr>
            <w:tcW w:w="81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648"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0.0%</w:t>
            </w:r>
          </w:p>
        </w:tc>
        <w:tc>
          <w:tcPr>
            <w:tcW w:w="72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810" w:type="dxa"/>
            <w:tcBorders>
              <w:left w:val="single" w:sz="4" w:space="0" w:color="000000"/>
              <w:right w:val="single" w:sz="12" w:space="0" w:color="000000"/>
            </w:tcBorders>
            <w:shd w:val="clear" w:color="auto" w:fill="B6DDE8"/>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0.6%</w:t>
            </w:r>
          </w:p>
        </w:tc>
        <w:tc>
          <w:tcPr>
            <w:tcW w:w="810" w:type="dxa"/>
            <w:tcBorders>
              <w:left w:val="nil"/>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59.0%</w:t>
            </w:r>
          </w:p>
        </w:tc>
        <w:tc>
          <w:tcPr>
            <w:tcW w:w="810" w:type="dxa"/>
            <w:tcBorders>
              <w:left w:val="single" w:sz="4" w:space="0" w:color="000000"/>
              <w:right w:val="nil"/>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41.0%</w:t>
            </w:r>
          </w:p>
        </w:tc>
        <w:tc>
          <w:tcPr>
            <w:tcW w:w="810" w:type="dxa"/>
            <w:tcBorders>
              <w:left w:val="single" w:sz="4" w:space="0" w:color="000000"/>
              <w:right w:val="single" w:sz="12" w:space="0" w:color="auto"/>
            </w:tcBorders>
            <w:shd w:val="clear" w:color="auto" w:fill="B6DDE8"/>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r w:rsidR="00E46B55" w:rsidRPr="00017D27" w:rsidTr="005375E7">
        <w:trPr>
          <w:trHeight w:val="20"/>
        </w:trPr>
        <w:tc>
          <w:tcPr>
            <w:tcW w:w="1188" w:type="dxa"/>
            <w:tcBorders>
              <w:left w:val="single" w:sz="12" w:space="0" w:color="auto"/>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6.2%</w:t>
            </w:r>
          </w:p>
        </w:tc>
        <w:tc>
          <w:tcPr>
            <w:tcW w:w="792"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75.5%</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5.2%</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3.2%</w:t>
            </w:r>
          </w:p>
        </w:tc>
        <w:tc>
          <w:tcPr>
            <w:tcW w:w="73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92"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1.4%</w:t>
            </w:r>
          </w:p>
        </w:tc>
        <w:tc>
          <w:tcPr>
            <w:tcW w:w="720" w:type="dxa"/>
            <w:tcBorders>
              <w:left w:val="single" w:sz="12" w:space="0" w:color="000000"/>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1.0%</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2.1%</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1.7%</w:t>
            </w:r>
          </w:p>
        </w:tc>
        <w:tc>
          <w:tcPr>
            <w:tcW w:w="81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2.2%</w:t>
            </w:r>
          </w:p>
        </w:tc>
        <w:tc>
          <w:tcPr>
            <w:tcW w:w="648"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0.3%</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720" w:type="dxa"/>
            <w:tcBorders>
              <w:left w:val="nil"/>
              <w:bottom w:val="single" w:sz="4" w:space="0" w:color="auto"/>
              <w:right w:val="single" w:sz="4"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0.1%</w:t>
            </w:r>
          </w:p>
        </w:tc>
        <w:tc>
          <w:tcPr>
            <w:tcW w:w="72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0.2%</w:t>
            </w:r>
          </w:p>
        </w:tc>
        <w:tc>
          <w:tcPr>
            <w:tcW w:w="810" w:type="dxa"/>
            <w:tcBorders>
              <w:left w:val="single" w:sz="4" w:space="0" w:color="000000"/>
              <w:bottom w:val="single" w:sz="4" w:space="0" w:color="auto"/>
              <w:right w:val="single" w:sz="12" w:space="0" w:color="000000"/>
            </w:tcBorders>
            <w:shd w:val="clear" w:color="auto" w:fill="auto"/>
            <w:noWrap/>
            <w:vAlign w:val="center"/>
          </w:tcPr>
          <w:p w:rsidR="00E46B55" w:rsidRPr="009725E6" w:rsidRDefault="00E46B55" w:rsidP="005375E7">
            <w:pPr>
              <w:spacing w:after="0" w:line="240" w:lineRule="auto"/>
              <w:jc w:val="right"/>
              <w:rPr>
                <w:rFonts w:ascii="Arial" w:hAnsi="Arial" w:cs="Arial"/>
                <w:color w:val="000000"/>
                <w:sz w:val="14"/>
                <w:szCs w:val="14"/>
              </w:rPr>
            </w:pPr>
            <w:r w:rsidRPr="009725E6">
              <w:rPr>
                <w:rFonts w:ascii="Arial" w:hAnsi="Arial" w:cs="Arial"/>
                <w:color w:val="000000"/>
                <w:sz w:val="14"/>
                <w:szCs w:val="14"/>
              </w:rPr>
              <w:t>0.4%</w:t>
            </w:r>
          </w:p>
        </w:tc>
        <w:tc>
          <w:tcPr>
            <w:tcW w:w="810" w:type="dxa"/>
            <w:tcBorders>
              <w:left w:val="nil"/>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91.8%</w:t>
            </w:r>
          </w:p>
        </w:tc>
        <w:tc>
          <w:tcPr>
            <w:tcW w:w="810" w:type="dxa"/>
            <w:tcBorders>
              <w:left w:val="single" w:sz="4" w:space="0" w:color="000000"/>
              <w:bottom w:val="single" w:sz="4" w:space="0" w:color="auto"/>
              <w:right w:val="nil"/>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8.2%</w:t>
            </w:r>
          </w:p>
        </w:tc>
        <w:tc>
          <w:tcPr>
            <w:tcW w:w="810" w:type="dxa"/>
            <w:tcBorders>
              <w:left w:val="single" w:sz="4" w:space="0" w:color="000000"/>
              <w:bottom w:val="single" w:sz="4" w:space="0" w:color="auto"/>
              <w:right w:val="single" w:sz="12" w:space="0" w:color="auto"/>
            </w:tcBorders>
            <w:shd w:val="clear" w:color="auto" w:fill="auto"/>
            <w:noWrap/>
            <w:vAlign w:val="center"/>
          </w:tcPr>
          <w:p w:rsidR="00E46B55" w:rsidRPr="009725E6" w:rsidRDefault="00E46B55" w:rsidP="005375E7">
            <w:pPr>
              <w:spacing w:after="0" w:line="240" w:lineRule="auto"/>
              <w:jc w:val="right"/>
              <w:rPr>
                <w:rFonts w:ascii="Arial" w:hAnsi="Arial" w:cs="Arial"/>
                <w:b/>
                <w:bCs/>
                <w:color w:val="000000"/>
                <w:sz w:val="14"/>
                <w:szCs w:val="14"/>
              </w:rPr>
            </w:pPr>
            <w:r w:rsidRPr="009725E6">
              <w:rPr>
                <w:rFonts w:ascii="Arial" w:hAnsi="Arial" w:cs="Arial"/>
                <w:b/>
                <w:bCs/>
                <w:color w:val="000000"/>
                <w:sz w:val="14"/>
                <w:szCs w:val="14"/>
              </w:rPr>
              <w:t>100.0%</w:t>
            </w:r>
          </w:p>
        </w:tc>
      </w:tr>
    </w:tbl>
    <w:p w:rsidR="00E46B55" w:rsidRDefault="00E46B55"/>
    <w:tbl>
      <w:tblPr>
        <w:tblW w:w="14868" w:type="dxa"/>
        <w:tblLayout w:type="fixed"/>
        <w:tblLook w:val="04A0" w:firstRow="1" w:lastRow="0" w:firstColumn="1" w:lastColumn="0" w:noHBand="0" w:noVBand="1"/>
      </w:tblPr>
      <w:tblGrid>
        <w:gridCol w:w="1188"/>
        <w:gridCol w:w="720"/>
        <w:gridCol w:w="792"/>
        <w:gridCol w:w="810"/>
        <w:gridCol w:w="810"/>
        <w:gridCol w:w="738"/>
        <w:gridCol w:w="792"/>
        <w:gridCol w:w="720"/>
        <w:gridCol w:w="720"/>
        <w:gridCol w:w="720"/>
        <w:gridCol w:w="810"/>
        <w:gridCol w:w="648"/>
        <w:gridCol w:w="720"/>
        <w:gridCol w:w="720"/>
        <w:gridCol w:w="720"/>
        <w:gridCol w:w="810"/>
        <w:gridCol w:w="810"/>
        <w:gridCol w:w="810"/>
        <w:gridCol w:w="810"/>
      </w:tblGrid>
      <w:tr w:rsidR="00E46B55" w:rsidRPr="00880020" w:rsidTr="005375E7">
        <w:trPr>
          <w:trHeight w:val="20"/>
        </w:trPr>
        <w:tc>
          <w:tcPr>
            <w:tcW w:w="14868" w:type="dxa"/>
            <w:gridSpan w:val="19"/>
            <w:tcBorders>
              <w:top w:val="single" w:sz="12" w:space="0" w:color="auto"/>
              <w:left w:val="single" w:sz="12" w:space="0" w:color="auto"/>
              <w:bottom w:val="single" w:sz="12" w:space="0" w:color="auto"/>
              <w:right w:val="single" w:sz="12" w:space="0" w:color="auto"/>
            </w:tcBorders>
            <w:shd w:val="clear" w:color="auto" w:fill="auto"/>
            <w:vAlign w:val="bottom"/>
            <w:hideMark/>
          </w:tcPr>
          <w:p w:rsidR="00E46B55" w:rsidRPr="00880020" w:rsidRDefault="00E46B55" w:rsidP="005375E7">
            <w:pPr>
              <w:spacing w:after="0" w:line="240" w:lineRule="auto"/>
              <w:rPr>
                <w:rFonts w:ascii="Arial" w:eastAsia="Times New Roman" w:hAnsi="Arial" w:cs="Arial"/>
                <w:b/>
                <w:bCs/>
                <w:color w:val="000000"/>
                <w:sz w:val="14"/>
                <w:szCs w:val="14"/>
              </w:rPr>
            </w:pPr>
            <w:r>
              <w:br w:type="page"/>
            </w:r>
            <w:r>
              <w:rPr>
                <w:rFonts w:ascii="Arial" w:eastAsia="Times New Roman" w:hAnsi="Arial" w:cs="Arial"/>
                <w:b/>
                <w:bCs/>
                <w:color w:val="000000"/>
                <w:sz w:val="14"/>
                <w:szCs w:val="14"/>
              </w:rPr>
              <w:t>Table A3d</w:t>
            </w:r>
            <w:r w:rsidRPr="00880020">
              <w:rPr>
                <w:rFonts w:ascii="Arial" w:eastAsia="Times New Roman" w:hAnsi="Arial" w:cs="Arial"/>
                <w:b/>
                <w:bCs/>
                <w:color w:val="000000"/>
                <w:sz w:val="14"/>
                <w:szCs w:val="14"/>
              </w:rPr>
              <w:t xml:space="preserve">. Market income and government transfer income of </w:t>
            </w:r>
            <w:r>
              <w:rPr>
                <w:rFonts w:ascii="Arial" w:eastAsia="Times New Roman" w:hAnsi="Arial" w:cs="Arial"/>
                <w:b/>
                <w:bCs/>
                <w:color w:val="000000"/>
                <w:sz w:val="14"/>
                <w:szCs w:val="14"/>
              </w:rPr>
              <w:t xml:space="preserve">adults (16 years+) with and without disabilities, irrespective of low income status, by gender and age group </w:t>
            </w:r>
            <w:r w:rsidRPr="00880020">
              <w:rPr>
                <w:rFonts w:ascii="Arial" w:eastAsia="Times New Roman" w:hAnsi="Arial" w:cs="Arial"/>
                <w:b/>
                <w:bCs/>
                <w:color w:val="000000"/>
                <w:sz w:val="14"/>
                <w:szCs w:val="14"/>
              </w:rPr>
              <w:t>(Source: SLID 2009 PUMF)</w:t>
            </w:r>
          </w:p>
        </w:tc>
      </w:tr>
      <w:tr w:rsidR="00E46B55" w:rsidRPr="00880020"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noWrap/>
            <w:vAlign w:val="bottom"/>
            <w:hideMark/>
          </w:tcPr>
          <w:p w:rsidR="00E46B55" w:rsidRPr="00880020" w:rsidRDefault="00E46B55" w:rsidP="005375E7">
            <w:pPr>
              <w:spacing w:after="0" w:line="240" w:lineRule="auto"/>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4662" w:type="dxa"/>
            <w:gridSpan w:val="6"/>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6588" w:type="dxa"/>
            <w:gridSpan w:val="9"/>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Government Transfers</w:t>
            </w:r>
          </w:p>
        </w:tc>
        <w:tc>
          <w:tcPr>
            <w:tcW w:w="2430" w:type="dxa"/>
            <w:gridSpan w:val="3"/>
            <w:tcBorders>
              <w:top w:val="single" w:sz="12" w:space="0" w:color="auto"/>
              <w:left w:val="nil"/>
              <w:bottom w:val="single" w:sz="12" w:space="0" w:color="000000"/>
              <w:right w:val="single" w:sz="12" w:space="0" w:color="000000"/>
            </w:tcBorders>
            <w:shd w:val="clear" w:color="auto" w:fill="auto"/>
            <w:noWrap/>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Summary</w:t>
            </w:r>
          </w:p>
        </w:tc>
      </w:tr>
      <w:tr w:rsidR="00E46B55" w:rsidRPr="00880020" w:rsidTr="005375E7">
        <w:trPr>
          <w:trHeight w:val="20"/>
        </w:trPr>
        <w:tc>
          <w:tcPr>
            <w:tcW w:w="1188" w:type="dxa"/>
            <w:tcBorders>
              <w:top w:val="nil"/>
              <w:left w:val="single" w:sz="12"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Self-emp't</w:t>
            </w:r>
          </w:p>
        </w:tc>
        <w:tc>
          <w:tcPr>
            <w:tcW w:w="792"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Wages &amp; salaries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Private pensions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Investm't income</w:t>
            </w:r>
          </w:p>
        </w:tc>
        <w:tc>
          <w:tcPr>
            <w:tcW w:w="73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Spousal &amp; child sup't</w:t>
            </w:r>
          </w:p>
        </w:tc>
        <w:tc>
          <w:tcPr>
            <w:tcW w:w="792"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market income</w:t>
            </w:r>
          </w:p>
        </w:tc>
        <w:tc>
          <w:tcPr>
            <w:tcW w:w="720" w:type="dxa"/>
            <w:tcBorders>
              <w:top w:val="nil"/>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Child benefits</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CPP/</w:t>
            </w:r>
          </w:p>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QPP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OAS/ GIS</w:t>
            </w:r>
          </w:p>
        </w:tc>
        <w:tc>
          <w:tcPr>
            <w:tcW w:w="81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EI</w:t>
            </w:r>
          </w:p>
        </w:tc>
        <w:tc>
          <w:tcPr>
            <w:tcW w:w="648"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Wkrs’</w:t>
            </w:r>
            <w:r w:rsidRPr="00880020">
              <w:rPr>
                <w:rFonts w:ascii="Arial" w:eastAsia="Times New Roman" w:hAnsi="Arial" w:cs="Arial"/>
                <w:color w:val="000000"/>
                <w:sz w:val="14"/>
                <w:szCs w:val="14"/>
              </w:rPr>
              <w:t xml:space="preserve"> Comp</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Social assist.</w:t>
            </w:r>
          </w:p>
        </w:tc>
        <w:tc>
          <w:tcPr>
            <w:tcW w:w="720" w:type="dxa"/>
            <w:tcBorders>
              <w:top w:val="nil"/>
              <w:left w:val="nil"/>
              <w:bottom w:val="single" w:sz="12" w:space="0" w:color="auto"/>
              <w:right w:val="single" w:sz="4" w:space="0" w:color="000000"/>
            </w:tcBorders>
            <w:shd w:val="clear" w:color="auto" w:fill="auto"/>
            <w:vAlign w:val="bottom"/>
            <w:hideMark/>
          </w:tcPr>
          <w:p w:rsidR="00E46B55" w:rsidRPr="00880020" w:rsidRDefault="00183B54" w:rsidP="005375E7">
            <w:pPr>
              <w:spacing w:after="0" w:line="240" w:lineRule="auto"/>
              <w:jc w:val="center"/>
              <w:rPr>
                <w:rFonts w:ascii="Arial" w:eastAsia="Times New Roman" w:hAnsi="Arial" w:cs="Arial"/>
                <w:color w:val="000000"/>
                <w:sz w:val="14"/>
                <w:szCs w:val="14"/>
              </w:rPr>
            </w:pPr>
            <w:r>
              <w:rPr>
                <w:rFonts w:ascii="Arial" w:eastAsia="Times New Roman" w:hAnsi="Arial" w:cs="Arial"/>
                <w:color w:val="000000"/>
                <w:sz w:val="14"/>
                <w:szCs w:val="14"/>
              </w:rPr>
              <w:t>Work’g Income</w:t>
            </w:r>
            <w:r w:rsidR="00E46B55" w:rsidRPr="00880020">
              <w:rPr>
                <w:rFonts w:ascii="Arial" w:eastAsia="Times New Roman" w:hAnsi="Arial" w:cs="Arial"/>
                <w:color w:val="000000"/>
                <w:sz w:val="14"/>
                <w:szCs w:val="14"/>
              </w:rPr>
              <w:t xml:space="preserve"> Tax Benefit (WITB)</w:t>
            </w:r>
          </w:p>
        </w:tc>
        <w:tc>
          <w:tcPr>
            <w:tcW w:w="720"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GST/</w:t>
            </w:r>
          </w:p>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HST credit (excl. prov. sales credit)</w:t>
            </w:r>
          </w:p>
        </w:tc>
        <w:tc>
          <w:tcPr>
            <w:tcW w:w="810" w:type="dxa"/>
            <w:tcBorders>
              <w:top w:val="nil"/>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All other gov't transfers</w:t>
            </w:r>
          </w:p>
        </w:tc>
        <w:tc>
          <w:tcPr>
            <w:tcW w:w="810" w:type="dxa"/>
            <w:tcBorders>
              <w:top w:val="nil"/>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Market income</w:t>
            </w:r>
          </w:p>
        </w:tc>
        <w:tc>
          <w:tcPr>
            <w:tcW w:w="810" w:type="dxa"/>
            <w:tcBorders>
              <w:top w:val="nil"/>
              <w:left w:val="single" w:sz="4"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Gov't transfer income</w:t>
            </w:r>
          </w:p>
        </w:tc>
        <w:tc>
          <w:tcPr>
            <w:tcW w:w="810" w:type="dxa"/>
            <w:tcBorders>
              <w:top w:val="nil"/>
              <w:left w:val="nil"/>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Total income</w:t>
            </w:r>
          </w:p>
        </w:tc>
      </w:tr>
      <w:tr w:rsidR="00E46B55" w:rsidRPr="00880020" w:rsidTr="005375E7">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vAlign w:val="bottom"/>
            <w:hideMark/>
          </w:tcPr>
          <w:p w:rsidR="00E46B55" w:rsidRPr="00CB3451" w:rsidRDefault="00E46B55" w:rsidP="005375E7">
            <w:pPr>
              <w:spacing w:after="0" w:line="240" w:lineRule="auto"/>
              <w:jc w:val="both"/>
              <w:rPr>
                <w:rFonts w:ascii="Arial" w:eastAsia="Times New Roman" w:hAnsi="Arial" w:cs="Arial"/>
                <w:b/>
                <w:bCs/>
                <w:color w:val="000000"/>
                <w:sz w:val="14"/>
                <w:szCs w:val="14"/>
              </w:rPr>
            </w:pPr>
            <w:r>
              <w:rPr>
                <w:rFonts w:ascii="Arial" w:eastAsia="Times New Roman" w:hAnsi="Arial" w:cs="Arial"/>
                <w:b/>
                <w:bCs/>
                <w:color w:val="000000"/>
                <w:sz w:val="14"/>
                <w:szCs w:val="14"/>
              </w:rPr>
              <w:t>W</w:t>
            </w:r>
            <w:r w:rsidRPr="00880020">
              <w:rPr>
                <w:rFonts w:ascii="Arial" w:eastAsia="Times New Roman" w:hAnsi="Arial" w:cs="Arial"/>
                <w:b/>
                <w:bCs/>
                <w:color w:val="000000"/>
                <w:sz w:val="14"/>
                <w:szCs w:val="14"/>
              </w:rPr>
              <w:t xml:space="preserve">orking-age people </w:t>
            </w:r>
            <w:r>
              <w:rPr>
                <w:rFonts w:ascii="Arial" w:eastAsia="Times New Roman" w:hAnsi="Arial" w:cs="Arial"/>
                <w:b/>
                <w:bCs/>
                <w:color w:val="000000"/>
                <w:sz w:val="14"/>
                <w:szCs w:val="14"/>
              </w:rPr>
              <w:t xml:space="preserve">with and </w:t>
            </w:r>
            <w:r w:rsidRPr="00880020">
              <w:rPr>
                <w:rFonts w:ascii="Arial" w:eastAsia="Times New Roman" w:hAnsi="Arial" w:cs="Arial"/>
                <w:b/>
                <w:bCs/>
                <w:color w:val="000000"/>
                <w:sz w:val="14"/>
                <w:szCs w:val="14"/>
              </w:rPr>
              <w:t>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w:t>
            </w:r>
          </w:p>
        </w:tc>
        <w:tc>
          <w:tcPr>
            <w:tcW w:w="720" w:type="dxa"/>
            <w:tcBorders>
              <w:top w:val="single" w:sz="12" w:space="0" w:color="auto"/>
              <w:left w:val="single" w:sz="12" w:space="0" w:color="000000"/>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648"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single" w:sz="4"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72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single" w:sz="4" w:space="0" w:color="000000"/>
              <w:bottom w:val="single" w:sz="12" w:space="0" w:color="auto"/>
              <w:right w:val="single" w:sz="12" w:space="0" w:color="000000"/>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color w:val="000000"/>
                <w:sz w:val="14"/>
                <w:szCs w:val="14"/>
              </w:rPr>
            </w:pPr>
            <w:r w:rsidRPr="00880020">
              <w:rPr>
                <w:rFonts w:ascii="Arial" w:eastAsia="Times New Roman" w:hAnsi="Arial" w:cs="Arial"/>
                <w:color w:val="000000"/>
                <w:sz w:val="14"/>
                <w:szCs w:val="14"/>
              </w:rPr>
              <w:t> </w:t>
            </w:r>
          </w:p>
        </w:tc>
        <w:tc>
          <w:tcPr>
            <w:tcW w:w="810" w:type="dxa"/>
            <w:tcBorders>
              <w:top w:val="single" w:sz="12" w:space="0" w:color="auto"/>
              <w:left w:val="nil"/>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nil"/>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c>
          <w:tcPr>
            <w:tcW w:w="810" w:type="dxa"/>
            <w:tcBorders>
              <w:top w:val="single" w:sz="12" w:space="0" w:color="auto"/>
              <w:left w:val="single" w:sz="4" w:space="0" w:color="000000"/>
              <w:bottom w:val="single" w:sz="12" w:space="0" w:color="auto"/>
              <w:right w:val="single" w:sz="12" w:space="0" w:color="auto"/>
            </w:tcBorders>
            <w:shd w:val="clear" w:color="auto" w:fill="auto"/>
            <w:vAlign w:val="bottom"/>
            <w:hideMark/>
          </w:tcPr>
          <w:p w:rsidR="00E46B55" w:rsidRPr="00880020" w:rsidRDefault="00E46B55" w:rsidP="005375E7">
            <w:pPr>
              <w:spacing w:after="0" w:line="240" w:lineRule="auto"/>
              <w:jc w:val="center"/>
              <w:rPr>
                <w:rFonts w:ascii="Arial" w:eastAsia="Times New Roman" w:hAnsi="Arial" w:cs="Arial"/>
                <w:b/>
                <w:bCs/>
                <w:color w:val="000000"/>
                <w:sz w:val="14"/>
                <w:szCs w:val="14"/>
              </w:rPr>
            </w:pPr>
            <w:r w:rsidRPr="00880020">
              <w:rPr>
                <w:rFonts w:ascii="Arial" w:eastAsia="Times New Roman" w:hAnsi="Arial" w:cs="Arial"/>
                <w:b/>
                <w:bCs/>
                <w:color w:val="000000"/>
                <w:sz w:val="14"/>
                <w:szCs w:val="14"/>
              </w:rPr>
              <w:t> </w:t>
            </w:r>
          </w:p>
        </w:tc>
      </w:tr>
      <w:tr w:rsidR="00E46B55" w:rsidRPr="00891AB4"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3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92"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648"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single" w:sz="4"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720"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color w:val="000000"/>
                <w:sz w:val="14"/>
                <w:szCs w:val="18"/>
              </w:rPr>
            </w:pPr>
            <w:r w:rsidRPr="00891AB4">
              <w:rPr>
                <w:rFonts w:ascii="Arial" w:hAnsi="Arial" w:cs="Arial"/>
                <w:color w:val="000000"/>
                <w:sz w:val="14"/>
                <w:szCs w:val="18"/>
              </w:rPr>
              <w:t> </w:t>
            </w:r>
          </w:p>
        </w:tc>
        <w:tc>
          <w:tcPr>
            <w:tcW w:w="810" w:type="dxa"/>
            <w:tcBorders>
              <w:top w:val="single" w:sz="12" w:space="0" w:color="auto"/>
              <w:left w:val="nil"/>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nil"/>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tcPr>
          <w:p w:rsidR="00E46B55" w:rsidRPr="00891AB4" w:rsidRDefault="00E46B55" w:rsidP="005375E7">
            <w:pPr>
              <w:spacing w:after="0" w:line="240" w:lineRule="auto"/>
              <w:jc w:val="center"/>
              <w:rPr>
                <w:rFonts w:ascii="Arial" w:hAnsi="Arial" w:cs="Arial"/>
                <w:b/>
                <w:bCs/>
                <w:color w:val="000000"/>
                <w:sz w:val="14"/>
                <w:szCs w:val="18"/>
              </w:rPr>
            </w:pPr>
            <w:r w:rsidRPr="00891AB4">
              <w:rPr>
                <w:rFonts w:ascii="Arial" w:hAnsi="Arial" w:cs="Arial"/>
                <w:b/>
                <w:bCs/>
                <w:color w:val="000000"/>
                <w:sz w:val="14"/>
                <w:szCs w:val="18"/>
              </w:rPr>
              <w:t> </w:t>
            </w:r>
          </w:p>
        </w:tc>
      </w:tr>
      <w:tr w:rsidR="00E46B55" w:rsidRPr="009311EA"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$726</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$19,604</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$247</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$290</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$730</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$222</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$93</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$173</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$69</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$20,881</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$1,364</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$22,245</w:t>
            </w:r>
          </w:p>
        </w:tc>
      </w:tr>
      <w:tr w:rsidR="00E46B55" w:rsidRPr="009311EA"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$3,810</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$45,694</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$965</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$552</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$73</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$46</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$1,182</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$238</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$301</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$47</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$126</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$51,073</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$2,121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$53,194</w:t>
            </w:r>
          </w:p>
        </w:tc>
      </w:tr>
      <w:tr w:rsidR="00E46B55" w:rsidRPr="009311EA"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$3,842</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$44,792</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$489</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$1,435</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$760</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$63</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$195</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$1,169</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$447</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$357</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$55</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$51,336</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$2,418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$53,754</w:t>
            </w:r>
          </w:p>
        </w:tc>
      </w:tr>
      <w:tr w:rsidR="00E46B55" w:rsidRPr="009311EA"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$4,863</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$30,390</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$6,792</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$2,316</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$1,513</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$1,852</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$67</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$887</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$724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$26</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$93</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$50</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$45,877</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$4,050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$49,927</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$1,629</w:t>
            </w:r>
          </w:p>
        </w:tc>
        <w:tc>
          <w:tcPr>
            <w:tcW w:w="792"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$2,446</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$14,160</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$2,979</w:t>
            </w:r>
          </w:p>
        </w:tc>
        <w:tc>
          <w:tcPr>
            <w:tcW w:w="73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792"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$574</w:t>
            </w:r>
          </w:p>
        </w:tc>
        <w:tc>
          <w:tcPr>
            <w:tcW w:w="720" w:type="dxa"/>
            <w:tcBorders>
              <w:top w:val="nil"/>
              <w:left w:val="single" w:sz="12" w:space="0" w:color="000000"/>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$7,069</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$6,629</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$149</w:t>
            </w:r>
          </w:p>
        </w:tc>
        <w:tc>
          <w:tcPr>
            <w:tcW w:w="64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$446</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w:t>
            </w:r>
          </w:p>
        </w:tc>
        <w:tc>
          <w:tcPr>
            <w:tcW w:w="72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$152</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$231</w:t>
            </w:r>
          </w:p>
        </w:tc>
        <w:tc>
          <w:tcPr>
            <w:tcW w:w="81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$21,789</w:t>
            </w:r>
          </w:p>
        </w:tc>
        <w:tc>
          <w:tcPr>
            <w:tcW w:w="810" w:type="dxa"/>
            <w:tcBorders>
              <w:top w:val="nil"/>
              <w:left w:val="single" w:sz="4" w:space="0" w:color="000000"/>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$14,706</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$36,495</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$2,903</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$30,396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$3,271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$1,392</w:t>
            </w:r>
          </w:p>
        </w:tc>
        <w:tc>
          <w:tcPr>
            <w:tcW w:w="73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w:t>
            </w:r>
          </w:p>
        </w:tc>
        <w:tc>
          <w:tcPr>
            <w:tcW w:w="792"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$678</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$1,403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$1,010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$870</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$335</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w:t>
            </w:r>
          </w:p>
        </w:tc>
        <w:tc>
          <w:tcPr>
            <w:tcW w:w="72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$126</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$103</w:t>
            </w:r>
          </w:p>
        </w:tc>
        <w:tc>
          <w:tcPr>
            <w:tcW w:w="81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$38,645</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$4,186</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$42,831</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891AB4"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$522</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$14,204</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$322</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$51</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$314</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$572</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$21</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$774</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$399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$80</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$266</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$15,417</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$2,329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$17,745</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$1,764</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$28,774</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$694</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$432</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$302</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$2,016</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$50</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$1,490</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$107</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$605</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$115</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$471</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$31,985</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$4,898</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$36,883</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$1,994</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$31,661</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$257</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$1,158</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$376</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$599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$709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$391</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$614</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$653</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$89</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$49</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$36,045</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$2,725</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$38,770</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$2,000</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$16,734</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$3,620</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$1,943</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$246</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$1,165</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$77</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$1,650</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$248</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$449</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$236</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$710</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$86</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$52</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$25,708</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$3,533</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$29,241</w:t>
            </w:r>
          </w:p>
        </w:tc>
      </w:tr>
      <w:tr w:rsidR="00E46B55" w:rsidRPr="00596608" w:rsidTr="005375E7">
        <w:trPr>
          <w:trHeight w:val="20"/>
        </w:trPr>
        <w:tc>
          <w:tcPr>
            <w:tcW w:w="1188" w:type="dxa"/>
            <w:tcBorders>
              <w:top w:val="nil"/>
              <w:left w:val="single" w:sz="12" w:space="0" w:color="000000"/>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$235</w:t>
            </w:r>
          </w:p>
        </w:tc>
        <w:tc>
          <w:tcPr>
            <w:tcW w:w="792"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$1,105</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$7,118</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$2,521</w:t>
            </w:r>
          </w:p>
        </w:tc>
        <w:tc>
          <w:tcPr>
            <w:tcW w:w="738"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$128</w:t>
            </w:r>
          </w:p>
        </w:tc>
        <w:tc>
          <w:tcPr>
            <w:tcW w:w="792"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$394</w:t>
            </w:r>
          </w:p>
        </w:tc>
        <w:tc>
          <w:tcPr>
            <w:tcW w:w="720" w:type="dxa"/>
            <w:tcBorders>
              <w:top w:val="nil"/>
              <w:left w:val="single" w:sz="12" w:space="0" w:color="000000"/>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$5,104</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$7,526</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w:t>
            </w:r>
          </w:p>
        </w:tc>
        <w:tc>
          <w:tcPr>
            <w:tcW w:w="648"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$117</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$181</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w:t>
            </w:r>
          </w:p>
        </w:tc>
        <w:tc>
          <w:tcPr>
            <w:tcW w:w="720"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$164</w:t>
            </w:r>
          </w:p>
        </w:tc>
        <w:tc>
          <w:tcPr>
            <w:tcW w:w="810" w:type="dxa"/>
            <w:tcBorders>
              <w:top w:val="nil"/>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$278</w:t>
            </w:r>
          </w:p>
        </w:tc>
        <w:tc>
          <w:tcPr>
            <w:tcW w:w="810"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$11,501</w:t>
            </w:r>
          </w:p>
        </w:tc>
        <w:tc>
          <w:tcPr>
            <w:tcW w:w="810" w:type="dxa"/>
            <w:tcBorders>
              <w:top w:val="nil"/>
              <w:left w:val="single" w:sz="4" w:space="0" w:color="000000"/>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$13,417</w:t>
            </w:r>
          </w:p>
        </w:tc>
        <w:tc>
          <w:tcPr>
            <w:tcW w:w="810" w:type="dxa"/>
            <w:tcBorders>
              <w:top w:val="nil"/>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$24,918</w:t>
            </w:r>
          </w:p>
        </w:tc>
      </w:tr>
      <w:tr w:rsidR="00E46B55" w:rsidRPr="00891AB4"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$1,294</w:t>
            </w:r>
          </w:p>
        </w:tc>
        <w:tc>
          <w:tcPr>
            <w:tcW w:w="792"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$19,309</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$1,868</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$1,213</w:t>
            </w:r>
          </w:p>
        </w:tc>
        <w:tc>
          <w:tcPr>
            <w:tcW w:w="73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$253</w:t>
            </w:r>
          </w:p>
        </w:tc>
        <w:tc>
          <w:tcPr>
            <w:tcW w:w="792"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$509</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$790</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$1,249</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$1,372</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$743</w:t>
            </w:r>
          </w:p>
        </w:tc>
        <w:tc>
          <w:tcPr>
            <w:tcW w:w="64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$133</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$509</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$39</w:t>
            </w:r>
          </w:p>
        </w:tc>
        <w:tc>
          <w:tcPr>
            <w:tcW w:w="72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$125</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$246</w:t>
            </w:r>
          </w:p>
        </w:tc>
        <w:tc>
          <w:tcPr>
            <w:tcW w:w="81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$24,447</w:t>
            </w:r>
          </w:p>
        </w:tc>
        <w:tc>
          <w:tcPr>
            <w:tcW w:w="810" w:type="dxa"/>
            <w:tcBorders>
              <w:top w:val="nil"/>
              <w:left w:val="single" w:sz="4" w:space="0" w:color="000000"/>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$5,205</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$29,652</w:t>
            </w:r>
          </w:p>
        </w:tc>
      </w:tr>
      <w:tr w:rsidR="00E46B55" w:rsidRPr="00891AB4"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891AB4" w:rsidTr="005375E7">
        <w:trPr>
          <w:trHeight w:val="20"/>
        </w:trPr>
        <w:tc>
          <w:tcPr>
            <w:tcW w:w="1188" w:type="dxa"/>
            <w:tcBorders>
              <w:top w:val="single" w:sz="4" w:space="0" w:color="auto"/>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single" w:sz="4" w:space="0" w:color="auto"/>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single" w:sz="4" w:space="0" w:color="auto"/>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single" w:sz="4" w:space="0" w:color="auto"/>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single" w:sz="4" w:space="0" w:color="auto"/>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single" w:sz="4" w:space="0" w:color="auto"/>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$626</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$16,955</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$284</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$26</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$302</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$287</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$751</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$86</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$165</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$18,200</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$1,837</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$20,037</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$2,787</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$37,232</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$830</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$219</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$427</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$1,045</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$48</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$1,336</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$172</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$453</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$46</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$111</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$298</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$41,527</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$3,510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$45,037</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$2,914</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$38,198</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$372</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$1,296</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$198</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$679</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$388</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$293</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$890</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$320</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$506</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$94</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$52</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$43,657</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$2,572</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$46,229</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$3,402</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$23,421</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$5,173</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$2,126</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$127</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$1,336</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$48</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$1,749</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$159</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$664</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$475</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$526</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$90</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$51</w:t>
            </w:r>
          </w:p>
        </w:tc>
        <w:tc>
          <w:tcPr>
            <w:tcW w:w="81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$35,585</w:t>
            </w:r>
          </w:p>
        </w:tc>
        <w:tc>
          <w:tcPr>
            <w:tcW w:w="810" w:type="dxa"/>
            <w:tcBorders>
              <w:top w:val="nil"/>
              <w:left w:val="single" w:sz="4" w:space="0" w:color="000000"/>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$3,786</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$39,371</w:t>
            </w:r>
          </w:p>
        </w:tc>
      </w:tr>
      <w:tr w:rsidR="00E46B55" w:rsidRPr="00596608" w:rsidTr="005375E7">
        <w:trPr>
          <w:trHeight w:val="20"/>
        </w:trPr>
        <w:tc>
          <w:tcPr>
            <w:tcW w:w="1188" w:type="dxa"/>
            <w:tcBorders>
              <w:top w:val="nil"/>
              <w:left w:val="single" w:sz="12" w:space="0" w:color="000000"/>
              <w:bottom w:val="nil"/>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$866</w:t>
            </w:r>
          </w:p>
        </w:tc>
        <w:tc>
          <w:tcPr>
            <w:tcW w:w="792"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$1,711</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$10,302</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$2,728</w:t>
            </w:r>
          </w:p>
        </w:tc>
        <w:tc>
          <w:tcPr>
            <w:tcW w:w="73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$70</w:t>
            </w:r>
          </w:p>
        </w:tc>
        <w:tc>
          <w:tcPr>
            <w:tcW w:w="792"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$475</w:t>
            </w:r>
          </w:p>
        </w:tc>
        <w:tc>
          <w:tcPr>
            <w:tcW w:w="720" w:type="dxa"/>
            <w:tcBorders>
              <w:top w:val="nil"/>
              <w:left w:val="single" w:sz="12" w:space="0" w:color="000000"/>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$5,992</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$7,121</w:t>
            </w:r>
          </w:p>
        </w:tc>
        <w:tc>
          <w:tcPr>
            <w:tcW w:w="81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$82</w:t>
            </w:r>
          </w:p>
        </w:tc>
        <w:tc>
          <w:tcPr>
            <w:tcW w:w="648"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$266</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$112</w:t>
            </w:r>
          </w:p>
        </w:tc>
        <w:tc>
          <w:tcPr>
            <w:tcW w:w="720" w:type="dxa"/>
            <w:tcBorders>
              <w:top w:val="nil"/>
              <w:left w:val="nil"/>
              <w:bottom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w:t>
            </w:r>
          </w:p>
        </w:tc>
        <w:tc>
          <w:tcPr>
            <w:tcW w:w="72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$158</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$257</w:t>
            </w:r>
          </w:p>
        </w:tc>
        <w:tc>
          <w:tcPr>
            <w:tcW w:w="810" w:type="dxa"/>
            <w:tcBorders>
              <w:top w:val="nil"/>
              <w:left w:val="nil"/>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$16,153</w:t>
            </w:r>
          </w:p>
        </w:tc>
        <w:tc>
          <w:tcPr>
            <w:tcW w:w="810" w:type="dxa"/>
            <w:tcBorders>
              <w:top w:val="nil"/>
              <w:left w:val="single" w:sz="4" w:space="0" w:color="000000"/>
              <w:bottom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$14,000</w:t>
            </w:r>
          </w:p>
        </w:tc>
        <w:tc>
          <w:tcPr>
            <w:tcW w:w="810" w:type="dxa"/>
            <w:tcBorders>
              <w:top w:val="nil"/>
              <w:left w:val="single" w:sz="4" w:space="0" w:color="000000"/>
              <w:bottom w:val="nil"/>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$30,152</w:t>
            </w:r>
          </w:p>
        </w:tc>
      </w:tr>
      <w:tr w:rsidR="00E46B55" w:rsidRPr="00880020" w:rsidTr="005375E7">
        <w:trPr>
          <w:trHeight w:val="20"/>
        </w:trPr>
        <w:tc>
          <w:tcPr>
            <w:tcW w:w="1188" w:type="dxa"/>
            <w:tcBorders>
              <w:top w:val="nil"/>
              <w:left w:val="single" w:sz="12" w:space="0" w:color="000000"/>
              <w:bottom w:val="single" w:sz="12" w:space="0" w:color="auto"/>
              <w:right w:val="single" w:sz="12" w:space="0" w:color="000000"/>
            </w:tcBorders>
            <w:shd w:val="clear" w:color="auto" w:fill="auto"/>
          </w:tcPr>
          <w:p w:rsidR="00E46B55" w:rsidRPr="00280759" w:rsidRDefault="00E46B55" w:rsidP="005375E7">
            <w:pPr>
              <w:spacing w:after="0" w:line="240" w:lineRule="auto"/>
              <w:rPr>
                <w:rFonts w:ascii="Arial" w:hAnsi="Arial" w:cs="Arial"/>
                <w:color w:val="000000"/>
                <w:sz w:val="14"/>
                <w:szCs w:val="14"/>
              </w:rPr>
            </w:pPr>
            <w:r w:rsidRPr="00280759">
              <w:rPr>
                <w:rFonts w:ascii="Arial" w:hAnsi="Arial" w:cs="Arial"/>
                <w:color w:val="000000"/>
                <w:sz w:val="14"/>
                <w:szCs w:val="14"/>
              </w:rPr>
              <w:t>Total</w:t>
            </w:r>
          </w:p>
        </w:tc>
        <w:tc>
          <w:tcPr>
            <w:tcW w:w="72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$2,086</w:t>
            </w:r>
          </w:p>
        </w:tc>
        <w:tc>
          <w:tcPr>
            <w:tcW w:w="792"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$24,767</w:t>
            </w:r>
          </w:p>
        </w:tc>
        <w:tc>
          <w:tcPr>
            <w:tcW w:w="81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$2,559</w:t>
            </w:r>
          </w:p>
        </w:tc>
        <w:tc>
          <w:tcPr>
            <w:tcW w:w="81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$1,301</w:t>
            </w:r>
          </w:p>
        </w:tc>
        <w:tc>
          <w:tcPr>
            <w:tcW w:w="738"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$131</w:t>
            </w:r>
          </w:p>
        </w:tc>
        <w:tc>
          <w:tcPr>
            <w:tcW w:w="792" w:type="dxa"/>
            <w:tcBorders>
              <w:top w:val="nil"/>
              <w:left w:val="nil"/>
              <w:bottom w:val="single" w:sz="12"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$592</w:t>
            </w:r>
          </w:p>
        </w:tc>
        <w:tc>
          <w:tcPr>
            <w:tcW w:w="720" w:type="dxa"/>
            <w:tcBorders>
              <w:top w:val="nil"/>
              <w:left w:val="single" w:sz="12" w:space="0" w:color="000000"/>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$419</w:t>
            </w:r>
          </w:p>
        </w:tc>
        <w:tc>
          <w:tcPr>
            <w:tcW w:w="72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$1,325</w:t>
            </w:r>
          </w:p>
        </w:tc>
        <w:tc>
          <w:tcPr>
            <w:tcW w:w="72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$1,194</w:t>
            </w:r>
          </w:p>
        </w:tc>
        <w:tc>
          <w:tcPr>
            <w:tcW w:w="81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$806</w:t>
            </w:r>
          </w:p>
        </w:tc>
        <w:tc>
          <w:tcPr>
            <w:tcW w:w="648"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$232</w:t>
            </w:r>
          </w:p>
        </w:tc>
        <w:tc>
          <w:tcPr>
            <w:tcW w:w="72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$385</w:t>
            </w:r>
          </w:p>
        </w:tc>
        <w:tc>
          <w:tcPr>
            <w:tcW w:w="720" w:type="dxa"/>
            <w:tcBorders>
              <w:top w:val="nil"/>
              <w:left w:val="nil"/>
              <w:bottom w:val="single" w:sz="12"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$42</w:t>
            </w:r>
          </w:p>
        </w:tc>
        <w:tc>
          <w:tcPr>
            <w:tcW w:w="720" w:type="dxa"/>
            <w:tcBorders>
              <w:top w:val="nil"/>
              <w:left w:val="nil"/>
              <w:bottom w:val="single" w:sz="12"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$126</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$175</w:t>
            </w:r>
          </w:p>
        </w:tc>
        <w:tc>
          <w:tcPr>
            <w:tcW w:w="810" w:type="dxa"/>
            <w:tcBorders>
              <w:top w:val="nil"/>
              <w:left w:val="nil"/>
              <w:bottom w:val="single" w:sz="12"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$31,437</w:t>
            </w:r>
          </w:p>
        </w:tc>
        <w:tc>
          <w:tcPr>
            <w:tcW w:w="810" w:type="dxa"/>
            <w:tcBorders>
              <w:top w:val="nil"/>
              <w:left w:val="single" w:sz="4" w:space="0" w:color="000000"/>
              <w:bottom w:val="single" w:sz="12"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$4,703</w:t>
            </w:r>
          </w:p>
        </w:tc>
        <w:tc>
          <w:tcPr>
            <w:tcW w:w="810" w:type="dxa"/>
            <w:tcBorders>
              <w:top w:val="nil"/>
              <w:left w:val="single" w:sz="4" w:space="0" w:color="000000"/>
              <w:bottom w:val="single" w:sz="12"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$36,140</w:t>
            </w:r>
          </w:p>
        </w:tc>
      </w:tr>
      <w:tr w:rsidR="00E46B55" w:rsidRPr="00880020" w:rsidTr="005375E7">
        <w:trPr>
          <w:trHeight w:val="20"/>
        </w:trPr>
        <w:tc>
          <w:tcPr>
            <w:tcW w:w="5850" w:type="dxa"/>
            <w:gridSpan w:val="7"/>
            <w:tcBorders>
              <w:top w:val="single" w:sz="12" w:space="0" w:color="auto"/>
              <w:left w:val="single" w:sz="12" w:space="0" w:color="auto"/>
              <w:bottom w:val="single" w:sz="12" w:space="0" w:color="auto"/>
              <w:right w:val="single" w:sz="12" w:space="0" w:color="000000"/>
            </w:tcBorders>
            <w:shd w:val="clear" w:color="auto" w:fill="auto"/>
          </w:tcPr>
          <w:p w:rsidR="00E46B55" w:rsidRPr="00880020" w:rsidRDefault="00E46B55" w:rsidP="005375E7">
            <w:pPr>
              <w:spacing w:after="0" w:line="240" w:lineRule="auto"/>
              <w:rPr>
                <w:rFonts w:ascii="Arial" w:eastAsia="Times New Roman" w:hAnsi="Arial" w:cs="Arial"/>
                <w:color w:val="000000"/>
                <w:sz w:val="14"/>
                <w:szCs w:val="14"/>
              </w:rPr>
            </w:pPr>
            <w:r>
              <w:rPr>
                <w:rFonts w:ascii="Arial" w:eastAsia="Times New Roman" w:hAnsi="Arial" w:cs="Arial"/>
                <w:b/>
                <w:bCs/>
                <w:color w:val="000000"/>
                <w:sz w:val="14"/>
                <w:szCs w:val="14"/>
              </w:rPr>
              <w:t>W</w:t>
            </w:r>
            <w:r w:rsidRPr="00880020">
              <w:rPr>
                <w:rFonts w:ascii="Arial" w:eastAsia="Times New Roman" w:hAnsi="Arial" w:cs="Arial"/>
                <w:b/>
                <w:bCs/>
                <w:color w:val="000000"/>
                <w:sz w:val="14"/>
                <w:szCs w:val="14"/>
              </w:rPr>
              <w:t xml:space="preserve">orking-age people </w:t>
            </w:r>
            <w:r>
              <w:rPr>
                <w:rFonts w:ascii="Arial" w:eastAsia="Times New Roman" w:hAnsi="Arial" w:cs="Arial"/>
                <w:b/>
                <w:bCs/>
                <w:color w:val="000000"/>
                <w:sz w:val="14"/>
                <w:szCs w:val="14"/>
              </w:rPr>
              <w:t xml:space="preserve">with and </w:t>
            </w:r>
            <w:r w:rsidRPr="00880020">
              <w:rPr>
                <w:rFonts w:ascii="Arial" w:eastAsia="Times New Roman" w:hAnsi="Arial" w:cs="Arial"/>
                <w:b/>
                <w:bCs/>
                <w:color w:val="000000"/>
                <w:sz w:val="14"/>
                <w:szCs w:val="14"/>
              </w:rPr>
              <w:t>with</w:t>
            </w:r>
            <w:r>
              <w:rPr>
                <w:rFonts w:ascii="Arial" w:eastAsia="Times New Roman" w:hAnsi="Arial" w:cs="Arial"/>
                <w:b/>
                <w:bCs/>
                <w:color w:val="000000"/>
                <w:sz w:val="14"/>
                <w:szCs w:val="14"/>
              </w:rPr>
              <w:t>out</w:t>
            </w:r>
            <w:r w:rsidRPr="00880020">
              <w:rPr>
                <w:rFonts w:ascii="Arial" w:eastAsia="Times New Roman" w:hAnsi="Arial" w:cs="Arial"/>
                <w:b/>
                <w:bCs/>
                <w:color w:val="000000"/>
                <w:sz w:val="14"/>
                <w:szCs w:val="14"/>
              </w:rPr>
              <w:t xml:space="preserve"> disabilities</w:t>
            </w:r>
            <w:r>
              <w:rPr>
                <w:rFonts w:ascii="Arial" w:eastAsia="Times New Roman" w:hAnsi="Arial" w:cs="Arial"/>
                <w:b/>
                <w:bCs/>
                <w:color w:val="000000"/>
                <w:sz w:val="14"/>
                <w:szCs w:val="14"/>
              </w:rPr>
              <w:t xml:space="preserve"> – Showing % of total income</w:t>
            </w:r>
          </w:p>
        </w:tc>
        <w:tc>
          <w:tcPr>
            <w:tcW w:w="720" w:type="dxa"/>
            <w:tcBorders>
              <w:top w:val="single" w:sz="12" w:space="0" w:color="auto"/>
              <w:left w:val="single" w:sz="12" w:space="0" w:color="000000"/>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648"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single" w:sz="4"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72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single" w:sz="4" w:space="0" w:color="000000"/>
              <w:bottom w:val="single" w:sz="12" w:space="0" w:color="auto"/>
              <w:right w:val="single" w:sz="12" w:space="0" w:color="000000"/>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color w:val="000000"/>
                <w:sz w:val="14"/>
                <w:szCs w:val="14"/>
              </w:rPr>
            </w:pPr>
          </w:p>
        </w:tc>
        <w:tc>
          <w:tcPr>
            <w:tcW w:w="810" w:type="dxa"/>
            <w:tcBorders>
              <w:top w:val="single" w:sz="12" w:space="0" w:color="auto"/>
              <w:left w:val="nil"/>
              <w:bottom w:val="single" w:sz="12" w:space="0" w:color="auto"/>
              <w:right w:val="nil"/>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nil"/>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b/>
                <w:bCs/>
                <w:color w:val="000000"/>
                <w:sz w:val="14"/>
                <w:szCs w:val="14"/>
              </w:rPr>
            </w:pPr>
          </w:p>
        </w:tc>
        <w:tc>
          <w:tcPr>
            <w:tcW w:w="810" w:type="dxa"/>
            <w:tcBorders>
              <w:top w:val="single" w:sz="12" w:space="0" w:color="auto"/>
              <w:left w:val="single" w:sz="4" w:space="0" w:color="000000"/>
              <w:bottom w:val="single" w:sz="12" w:space="0" w:color="auto"/>
              <w:right w:val="single" w:sz="12" w:space="0" w:color="auto"/>
            </w:tcBorders>
            <w:shd w:val="clear" w:color="auto" w:fill="auto"/>
            <w:noWrap/>
            <w:vAlign w:val="center"/>
          </w:tcPr>
          <w:p w:rsidR="00E46B55" w:rsidRPr="00880020" w:rsidRDefault="00E46B55" w:rsidP="005375E7">
            <w:pPr>
              <w:spacing w:after="0" w:line="240" w:lineRule="auto"/>
              <w:jc w:val="right"/>
              <w:rPr>
                <w:rFonts w:ascii="Arial" w:eastAsia="Times New Roman" w:hAnsi="Arial" w:cs="Arial"/>
                <w:b/>
                <w:bCs/>
                <w:color w:val="000000"/>
                <w:sz w:val="14"/>
                <w:szCs w:val="14"/>
              </w:rPr>
            </w:pPr>
          </w:p>
        </w:tc>
      </w:tr>
      <w:tr w:rsidR="00E46B55" w:rsidRPr="00891AB4" w:rsidTr="005375E7">
        <w:trPr>
          <w:trHeight w:val="20"/>
        </w:trPr>
        <w:tc>
          <w:tcPr>
            <w:tcW w:w="1188" w:type="dxa"/>
            <w:tcBorders>
              <w:top w:val="single" w:sz="12" w:space="0" w:color="auto"/>
              <w:left w:val="single" w:sz="12" w:space="0" w:color="000000"/>
              <w:bottom w:val="nil"/>
              <w:right w:val="single" w:sz="12" w:space="0" w:color="000000"/>
            </w:tcBorders>
            <w:shd w:val="clear" w:color="auto" w:fill="auto"/>
            <w:vAlign w:val="bottom"/>
            <w:hideMark/>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Men</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92"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38"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92" w:type="dxa"/>
            <w:tcBorders>
              <w:top w:val="single" w:sz="12" w:space="0" w:color="auto"/>
              <w:left w:val="nil"/>
              <w:bottom w:val="nil"/>
              <w:right w:val="nil"/>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single" w:sz="12" w:space="0" w:color="000000"/>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81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648"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nil"/>
              <w:bottom w:val="nil"/>
              <w:right w:val="single" w:sz="4"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720" w:type="dxa"/>
            <w:tcBorders>
              <w:top w:val="single" w:sz="12" w:space="0" w:color="auto"/>
              <w:left w:val="nil"/>
              <w:bottom w:val="nil"/>
              <w:right w:val="nil"/>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color w:val="000000"/>
                <w:sz w:val="14"/>
                <w:szCs w:val="14"/>
              </w:rPr>
            </w:pPr>
            <w:r w:rsidRPr="00280759">
              <w:rPr>
                <w:rFonts w:ascii="Arial" w:hAnsi="Arial" w:cs="Arial"/>
                <w:color w:val="000000"/>
                <w:sz w:val="14"/>
                <w:szCs w:val="14"/>
              </w:rPr>
              <w:t> </w:t>
            </w:r>
          </w:p>
        </w:tc>
        <w:tc>
          <w:tcPr>
            <w:tcW w:w="810" w:type="dxa"/>
            <w:tcBorders>
              <w:top w:val="single" w:sz="12" w:space="0" w:color="auto"/>
              <w:left w:val="nil"/>
              <w:bottom w:val="nil"/>
              <w:right w:val="nil"/>
            </w:tcBorders>
            <w:shd w:val="clear" w:color="auto" w:fill="auto"/>
            <w:noWrap/>
            <w:vAlign w:val="bottom"/>
            <w:hideMark/>
          </w:tcPr>
          <w:p w:rsidR="00E46B55" w:rsidRPr="00280759" w:rsidRDefault="00E46B55" w:rsidP="005375E7">
            <w:pPr>
              <w:spacing w:after="0" w:line="240" w:lineRule="auto"/>
              <w:jc w:val="center"/>
              <w:rPr>
                <w:rFonts w:ascii="Arial" w:hAnsi="Arial" w:cs="Arial"/>
                <w:b/>
                <w:bCs/>
                <w:color w:val="000000"/>
                <w:sz w:val="14"/>
                <w:szCs w:val="14"/>
              </w:rPr>
            </w:pPr>
            <w:r w:rsidRPr="00280759">
              <w:rPr>
                <w:rFonts w:ascii="Arial" w:hAnsi="Arial" w:cs="Arial"/>
                <w:b/>
                <w:bCs/>
                <w:color w:val="000000"/>
                <w:sz w:val="14"/>
                <w:szCs w:val="14"/>
              </w:rPr>
              <w:t> </w:t>
            </w:r>
          </w:p>
        </w:tc>
        <w:tc>
          <w:tcPr>
            <w:tcW w:w="810" w:type="dxa"/>
            <w:tcBorders>
              <w:top w:val="single" w:sz="12" w:space="0" w:color="auto"/>
              <w:left w:val="single" w:sz="4" w:space="0" w:color="000000"/>
              <w:bottom w:val="nil"/>
              <w:right w:val="nil"/>
            </w:tcBorders>
            <w:shd w:val="clear" w:color="auto" w:fill="auto"/>
            <w:noWrap/>
            <w:vAlign w:val="bottom"/>
            <w:hideMark/>
          </w:tcPr>
          <w:p w:rsidR="00E46B55" w:rsidRPr="00280759" w:rsidRDefault="00E46B55" w:rsidP="005375E7">
            <w:pPr>
              <w:spacing w:after="0" w:line="240" w:lineRule="auto"/>
              <w:jc w:val="center"/>
              <w:rPr>
                <w:rFonts w:ascii="Arial" w:hAnsi="Arial" w:cs="Arial"/>
                <w:b/>
                <w:bCs/>
                <w:color w:val="000000"/>
                <w:sz w:val="14"/>
                <w:szCs w:val="14"/>
              </w:rPr>
            </w:pPr>
            <w:r w:rsidRPr="00280759">
              <w:rPr>
                <w:rFonts w:ascii="Arial" w:hAnsi="Arial" w:cs="Arial"/>
                <w:b/>
                <w:bCs/>
                <w:color w:val="000000"/>
                <w:sz w:val="14"/>
                <w:szCs w:val="14"/>
              </w:rPr>
              <w:t> </w:t>
            </w:r>
          </w:p>
        </w:tc>
        <w:tc>
          <w:tcPr>
            <w:tcW w:w="810" w:type="dxa"/>
            <w:tcBorders>
              <w:top w:val="single" w:sz="12" w:space="0" w:color="auto"/>
              <w:left w:val="single" w:sz="4" w:space="0" w:color="000000"/>
              <w:bottom w:val="nil"/>
              <w:right w:val="single" w:sz="12" w:space="0" w:color="000000"/>
            </w:tcBorders>
            <w:shd w:val="clear" w:color="auto" w:fill="auto"/>
            <w:noWrap/>
            <w:vAlign w:val="bottom"/>
            <w:hideMark/>
          </w:tcPr>
          <w:p w:rsidR="00E46B55" w:rsidRPr="00280759" w:rsidRDefault="00E46B55" w:rsidP="005375E7">
            <w:pPr>
              <w:spacing w:after="0" w:line="240" w:lineRule="auto"/>
              <w:jc w:val="center"/>
              <w:rPr>
                <w:rFonts w:ascii="Arial" w:hAnsi="Arial" w:cs="Arial"/>
                <w:b/>
                <w:bCs/>
                <w:color w:val="000000"/>
                <w:sz w:val="14"/>
                <w:szCs w:val="14"/>
              </w:rPr>
            </w:pPr>
            <w:r w:rsidRPr="00280759">
              <w:rPr>
                <w:rFonts w:ascii="Arial" w:hAnsi="Arial" w:cs="Arial"/>
                <w:b/>
                <w:bCs/>
                <w:color w:val="000000"/>
                <w:sz w:val="14"/>
                <w:szCs w:val="14"/>
              </w:rPr>
              <w:t> </w:t>
            </w:r>
          </w:p>
        </w:tc>
      </w:tr>
      <w:tr w:rsidR="00E46B55" w:rsidRPr="00082611" w:rsidTr="005375E7">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w:t>
            </w:r>
          </w:p>
        </w:tc>
        <w:tc>
          <w:tcPr>
            <w:tcW w:w="792"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88.1%</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w:t>
            </w:r>
          </w:p>
        </w:tc>
        <w:tc>
          <w:tcPr>
            <w:tcW w:w="738"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w:t>
            </w:r>
          </w:p>
        </w:tc>
        <w:tc>
          <w:tcPr>
            <w:tcW w:w="648"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810"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93.9%</w:t>
            </w:r>
          </w:p>
        </w:tc>
        <w:tc>
          <w:tcPr>
            <w:tcW w:w="810" w:type="dxa"/>
            <w:tcBorders>
              <w:top w:val="nil"/>
              <w:left w:val="single" w:sz="4" w:space="0" w:color="000000"/>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6.1%</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7.2%</w:t>
            </w:r>
          </w:p>
        </w:tc>
        <w:tc>
          <w:tcPr>
            <w:tcW w:w="792"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85.9%</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38"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2.2%</w:t>
            </w:r>
          </w:p>
        </w:tc>
        <w:tc>
          <w:tcPr>
            <w:tcW w:w="648"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0.6%</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96.0%</w:t>
            </w:r>
          </w:p>
        </w:tc>
        <w:tc>
          <w:tcPr>
            <w:tcW w:w="810" w:type="dxa"/>
            <w:tcBorders>
              <w:top w:val="nil"/>
              <w:left w:val="single" w:sz="4" w:space="0" w:color="000000"/>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4.0%</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top w:val="nil"/>
              <w:left w:val="single" w:sz="12" w:space="0" w:color="000000"/>
              <w:bottom w:val="nil"/>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w:t>
            </w:r>
          </w:p>
        </w:tc>
        <w:tc>
          <w:tcPr>
            <w:tcW w:w="792"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83.3%</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w:t>
            </w:r>
          </w:p>
        </w:tc>
        <w:tc>
          <w:tcPr>
            <w:tcW w:w="738"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w:t>
            </w:r>
          </w:p>
        </w:tc>
        <w:tc>
          <w:tcPr>
            <w:tcW w:w="720" w:type="dxa"/>
            <w:tcBorders>
              <w:top w:val="nil"/>
              <w:left w:val="single" w:sz="12" w:space="0" w:color="000000"/>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2.2%</w:t>
            </w:r>
          </w:p>
        </w:tc>
        <w:tc>
          <w:tcPr>
            <w:tcW w:w="648"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95.5%</w:t>
            </w:r>
          </w:p>
        </w:tc>
        <w:tc>
          <w:tcPr>
            <w:tcW w:w="810" w:type="dxa"/>
            <w:tcBorders>
              <w:top w:val="nil"/>
              <w:left w:val="single" w:sz="4" w:space="0" w:color="000000"/>
              <w:bottom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4.5%</w:t>
            </w:r>
          </w:p>
        </w:tc>
        <w:tc>
          <w:tcPr>
            <w:tcW w:w="810" w:type="dxa"/>
            <w:tcBorders>
              <w:top w:val="nil"/>
              <w:left w:val="single" w:sz="4" w:space="0" w:color="000000"/>
              <w:bottom w:val="nil"/>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9.7%</w:t>
            </w:r>
          </w:p>
        </w:tc>
        <w:tc>
          <w:tcPr>
            <w:tcW w:w="792"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60.9%</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13.6%</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4.6%</w:t>
            </w:r>
          </w:p>
        </w:tc>
        <w:tc>
          <w:tcPr>
            <w:tcW w:w="738"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w:t>
            </w:r>
          </w:p>
        </w:tc>
        <w:tc>
          <w:tcPr>
            <w:tcW w:w="720" w:type="dxa"/>
            <w:tcBorders>
              <w:top w:val="nil"/>
              <w:left w:val="single" w:sz="12" w:space="0" w:color="000000"/>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648"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720" w:type="dxa"/>
            <w:tcBorders>
              <w:top w:val="nil"/>
              <w:left w:val="nil"/>
              <w:bottom w:val="nil"/>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91.9%</w:t>
            </w:r>
          </w:p>
        </w:tc>
        <w:tc>
          <w:tcPr>
            <w:tcW w:w="810" w:type="dxa"/>
            <w:tcBorders>
              <w:top w:val="nil"/>
              <w:left w:val="single" w:sz="4" w:space="0" w:color="000000"/>
              <w:bottom w:val="nil"/>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8.1%</w:t>
            </w:r>
          </w:p>
        </w:tc>
        <w:tc>
          <w:tcPr>
            <w:tcW w:w="810" w:type="dxa"/>
            <w:tcBorders>
              <w:top w:val="nil"/>
              <w:left w:val="single" w:sz="4" w:space="0" w:color="000000"/>
              <w:bottom w:val="nil"/>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4.5%</w:t>
            </w:r>
          </w:p>
        </w:tc>
        <w:tc>
          <w:tcPr>
            <w:tcW w:w="792"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6.7%</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38.8%</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8.2%</w:t>
            </w:r>
          </w:p>
        </w:tc>
        <w:tc>
          <w:tcPr>
            <w:tcW w:w="73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single" w:sz="12" w:space="0" w:color="000000"/>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19.4%</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18.2%</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64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0.6%</w:t>
            </w:r>
          </w:p>
        </w:tc>
        <w:tc>
          <w:tcPr>
            <w:tcW w:w="81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59.7%</w:t>
            </w:r>
          </w:p>
        </w:tc>
        <w:tc>
          <w:tcPr>
            <w:tcW w:w="810" w:type="dxa"/>
            <w:tcBorders>
              <w:top w:val="nil"/>
              <w:left w:val="single" w:sz="4" w:space="0" w:color="000000"/>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40.3%</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6.8%</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71.0%</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w:t>
            </w:r>
          </w:p>
        </w:tc>
        <w:tc>
          <w:tcPr>
            <w:tcW w:w="73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92"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2.0%</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0.6%</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90.2%</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9.8%</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082611" w:rsidTr="005375E7">
        <w:trPr>
          <w:trHeight w:val="20"/>
        </w:trPr>
        <w:tc>
          <w:tcPr>
            <w:tcW w:w="1188" w:type="dxa"/>
            <w:tcBorders>
              <w:top w:val="nil"/>
              <w:left w:val="single" w:sz="12" w:space="0" w:color="000000"/>
              <w:bottom w:val="nil"/>
              <w:right w:val="single" w:sz="12" w:space="0" w:color="000000"/>
            </w:tcBorders>
            <w:shd w:val="clear" w:color="auto" w:fill="auto"/>
            <w:hideMark/>
          </w:tcPr>
          <w:p w:rsidR="00E46B55" w:rsidRPr="00891AB4" w:rsidRDefault="00E46B55" w:rsidP="005375E7">
            <w:pPr>
              <w:spacing w:after="0" w:line="240" w:lineRule="auto"/>
              <w:rPr>
                <w:rFonts w:ascii="Arial" w:hAnsi="Arial" w:cs="Arial"/>
                <w:b/>
                <w:bCs/>
                <w:i/>
                <w:iCs/>
                <w:color w:val="000000"/>
                <w:sz w:val="14"/>
                <w:szCs w:val="18"/>
              </w:rPr>
            </w:pPr>
            <w:r>
              <w:rPr>
                <w:rFonts w:ascii="Arial" w:hAnsi="Arial" w:cs="Arial"/>
                <w:b/>
                <w:bCs/>
                <w:i/>
                <w:iCs/>
                <w:color w:val="000000"/>
                <w:sz w:val="14"/>
                <w:szCs w:val="18"/>
              </w:rPr>
              <w:t>Women</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nil"/>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082611"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w:t>
            </w:r>
          </w:p>
        </w:tc>
        <w:tc>
          <w:tcPr>
            <w:tcW w:w="792"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80.0%</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38"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792"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20" w:type="dxa"/>
            <w:tcBorders>
              <w:top w:val="nil"/>
              <w:left w:val="single" w:sz="12" w:space="0" w:color="000000"/>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3.2%</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w:t>
            </w:r>
          </w:p>
        </w:tc>
        <w:tc>
          <w:tcPr>
            <w:tcW w:w="648"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w:t>
            </w:r>
          </w:p>
        </w:tc>
        <w:tc>
          <w:tcPr>
            <w:tcW w:w="720" w:type="dxa"/>
            <w:tcBorders>
              <w:top w:val="nil"/>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720"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810" w:type="dxa"/>
            <w:tcBorders>
              <w:top w:val="nil"/>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810" w:type="dxa"/>
            <w:tcBorders>
              <w:top w:val="nil"/>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86.9%</w:t>
            </w:r>
          </w:p>
        </w:tc>
        <w:tc>
          <w:tcPr>
            <w:tcW w:w="810" w:type="dxa"/>
            <w:tcBorders>
              <w:top w:val="nil"/>
              <w:left w:val="single" w:sz="4" w:space="0" w:color="000000"/>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13.1%</w:t>
            </w:r>
          </w:p>
        </w:tc>
        <w:tc>
          <w:tcPr>
            <w:tcW w:w="810" w:type="dxa"/>
            <w:tcBorders>
              <w:top w:val="nil"/>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top w:val="nil"/>
              <w:left w:val="single" w:sz="12" w:space="0" w:color="000000"/>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4.8%</w:t>
            </w:r>
          </w:p>
        </w:tc>
        <w:tc>
          <w:tcPr>
            <w:tcW w:w="792"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78.0%</w:t>
            </w:r>
          </w:p>
        </w:tc>
        <w:tc>
          <w:tcPr>
            <w:tcW w:w="81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w:t>
            </w:r>
          </w:p>
        </w:tc>
        <w:tc>
          <w:tcPr>
            <w:tcW w:w="738"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w:t>
            </w:r>
          </w:p>
        </w:tc>
        <w:tc>
          <w:tcPr>
            <w:tcW w:w="792" w:type="dxa"/>
            <w:tcBorders>
              <w:top w:val="nil"/>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20" w:type="dxa"/>
            <w:tcBorders>
              <w:top w:val="nil"/>
              <w:left w:val="single" w:sz="12" w:space="0" w:color="000000"/>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5.5%</w:t>
            </w:r>
          </w:p>
        </w:tc>
        <w:tc>
          <w:tcPr>
            <w:tcW w:w="72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4.0%</w:t>
            </w:r>
          </w:p>
        </w:tc>
        <w:tc>
          <w:tcPr>
            <w:tcW w:w="648"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72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810" w:type="dxa"/>
            <w:tcBorders>
              <w:top w:val="nil"/>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w:t>
            </w:r>
          </w:p>
        </w:tc>
        <w:tc>
          <w:tcPr>
            <w:tcW w:w="81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86.7%</w:t>
            </w:r>
          </w:p>
        </w:tc>
        <w:tc>
          <w:tcPr>
            <w:tcW w:w="810" w:type="dxa"/>
            <w:tcBorders>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13.3%</w:t>
            </w:r>
          </w:p>
        </w:tc>
        <w:tc>
          <w:tcPr>
            <w:tcW w:w="810" w:type="dxa"/>
            <w:tcBorders>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left w:val="single" w:sz="12" w:space="0" w:color="auto"/>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5.1%</w:t>
            </w:r>
          </w:p>
        </w:tc>
        <w:tc>
          <w:tcPr>
            <w:tcW w:w="792"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81.7%</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w:t>
            </w:r>
          </w:p>
        </w:tc>
        <w:tc>
          <w:tcPr>
            <w:tcW w:w="73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w:t>
            </w:r>
          </w:p>
        </w:tc>
        <w:tc>
          <w:tcPr>
            <w:tcW w:w="792"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720" w:type="dxa"/>
            <w:tcBorders>
              <w:left w:val="single" w:sz="12" w:space="0" w:color="000000"/>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64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93.0%</w:t>
            </w:r>
          </w:p>
        </w:tc>
        <w:tc>
          <w:tcPr>
            <w:tcW w:w="810" w:type="dxa"/>
            <w:tcBorders>
              <w:left w:val="single" w:sz="4" w:space="0" w:color="000000"/>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7.0%</w:t>
            </w:r>
          </w:p>
        </w:tc>
        <w:tc>
          <w:tcPr>
            <w:tcW w:w="810" w:type="dxa"/>
            <w:tcBorders>
              <w:left w:val="single" w:sz="4" w:space="0" w:color="000000"/>
              <w:right w:val="single" w:sz="12" w:space="0" w:color="auto"/>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6.8%</w:t>
            </w:r>
          </w:p>
        </w:tc>
        <w:tc>
          <w:tcPr>
            <w:tcW w:w="792"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57.2%</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12.4%</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6.6%</w:t>
            </w:r>
          </w:p>
        </w:tc>
        <w:tc>
          <w:tcPr>
            <w:tcW w:w="73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92"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4.0%</w:t>
            </w:r>
          </w:p>
        </w:tc>
        <w:tc>
          <w:tcPr>
            <w:tcW w:w="720" w:type="dxa"/>
            <w:tcBorders>
              <w:left w:val="single" w:sz="12" w:space="0" w:color="000000"/>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5.6%</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64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810" w:type="dxa"/>
            <w:tcBorders>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87.9%</w:t>
            </w:r>
          </w:p>
        </w:tc>
        <w:tc>
          <w:tcPr>
            <w:tcW w:w="810" w:type="dxa"/>
            <w:tcBorders>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12.1%</w:t>
            </w:r>
          </w:p>
        </w:tc>
        <w:tc>
          <w:tcPr>
            <w:tcW w:w="810" w:type="dxa"/>
            <w:tcBorders>
              <w:left w:val="single" w:sz="4" w:space="0" w:color="000000"/>
              <w:right w:val="single" w:sz="12" w:space="0" w:color="auto"/>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792"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28.6%</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10.1%</w:t>
            </w:r>
          </w:p>
        </w:tc>
        <w:tc>
          <w:tcPr>
            <w:tcW w:w="73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792"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single" w:sz="12" w:space="0" w:color="000000"/>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20.5%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30.2%</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64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w:t>
            </w:r>
          </w:p>
        </w:tc>
        <w:tc>
          <w:tcPr>
            <w:tcW w:w="81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46.2%</w:t>
            </w:r>
          </w:p>
        </w:tc>
        <w:tc>
          <w:tcPr>
            <w:tcW w:w="810" w:type="dxa"/>
            <w:tcBorders>
              <w:top w:val="nil"/>
              <w:left w:val="single" w:sz="4" w:space="0" w:color="000000"/>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53.8%</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65.1%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6.3%</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4.1%</w:t>
            </w:r>
          </w:p>
        </w:tc>
        <w:tc>
          <w:tcPr>
            <w:tcW w:w="73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792"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4.6%</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2.5%</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82.4%</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17.6%</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single" w:sz="12" w:space="0" w:color="000000"/>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top w:val="nil"/>
              <w:left w:val="nil"/>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top w:val="nil"/>
              <w:left w:val="single" w:sz="4" w:space="0" w:color="000000"/>
              <w:bottom w:val="single" w:sz="4" w:space="0" w:color="auto"/>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top w:val="nil"/>
              <w:left w:val="single" w:sz="4" w:space="0" w:color="000000"/>
              <w:bottom w:val="single" w:sz="4" w:space="0" w:color="auto"/>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082611"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b/>
                <w:bCs/>
                <w:i/>
                <w:iCs/>
                <w:color w:val="000000"/>
                <w:sz w:val="14"/>
                <w:szCs w:val="18"/>
              </w:rPr>
            </w:pPr>
            <w:r w:rsidRPr="00891AB4">
              <w:rPr>
                <w:rFonts w:ascii="Arial" w:hAnsi="Arial" w:cs="Arial"/>
                <w:b/>
                <w:bCs/>
                <w:i/>
                <w:iCs/>
                <w:color w:val="000000"/>
                <w:sz w:val="14"/>
                <w:szCs w:val="18"/>
              </w:rPr>
              <w:t>All</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3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92"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single" w:sz="12" w:space="0" w:color="000000"/>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64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72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 </w:t>
            </w:r>
          </w:p>
        </w:tc>
        <w:tc>
          <w:tcPr>
            <w:tcW w:w="81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p>
        </w:tc>
        <w:tc>
          <w:tcPr>
            <w:tcW w:w="810" w:type="dxa"/>
            <w:tcBorders>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c>
          <w:tcPr>
            <w:tcW w:w="810" w:type="dxa"/>
            <w:tcBorders>
              <w:left w:val="single" w:sz="4" w:space="0" w:color="000000"/>
              <w:right w:val="single" w:sz="12" w:space="0" w:color="auto"/>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 </w:t>
            </w:r>
          </w:p>
        </w:tc>
      </w:tr>
      <w:tr w:rsidR="00E46B55" w:rsidRPr="00082611"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16 - 29</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3.1%</w:t>
            </w:r>
          </w:p>
        </w:tc>
        <w:tc>
          <w:tcPr>
            <w:tcW w:w="792"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84.6%</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w:t>
            </w:r>
          </w:p>
        </w:tc>
        <w:tc>
          <w:tcPr>
            <w:tcW w:w="73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92"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720" w:type="dxa"/>
            <w:tcBorders>
              <w:left w:val="single" w:sz="12" w:space="0" w:color="000000"/>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1.4%</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3.8%</w:t>
            </w:r>
          </w:p>
        </w:tc>
        <w:tc>
          <w:tcPr>
            <w:tcW w:w="64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90.8%</w:t>
            </w:r>
          </w:p>
        </w:tc>
        <w:tc>
          <w:tcPr>
            <w:tcW w:w="810" w:type="dxa"/>
            <w:tcBorders>
              <w:left w:val="single" w:sz="4" w:space="0" w:color="000000"/>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9.2%</w:t>
            </w:r>
          </w:p>
        </w:tc>
        <w:tc>
          <w:tcPr>
            <w:tcW w:w="810" w:type="dxa"/>
            <w:tcBorders>
              <w:left w:val="single" w:sz="4" w:space="0" w:color="000000"/>
              <w:right w:val="single" w:sz="12" w:space="0" w:color="auto"/>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30 - 44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6.2%</w:t>
            </w:r>
          </w:p>
        </w:tc>
        <w:tc>
          <w:tcPr>
            <w:tcW w:w="792"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82.7%</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1.8%</w:t>
            </w:r>
          </w:p>
        </w:tc>
        <w:tc>
          <w:tcPr>
            <w:tcW w:w="73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792"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720" w:type="dxa"/>
            <w:tcBorders>
              <w:left w:val="single" w:sz="12" w:space="0" w:color="000000"/>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3.0%</w:t>
            </w:r>
          </w:p>
        </w:tc>
        <w:tc>
          <w:tcPr>
            <w:tcW w:w="64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1.0%</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81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92.2%</w:t>
            </w:r>
          </w:p>
        </w:tc>
        <w:tc>
          <w:tcPr>
            <w:tcW w:w="810" w:type="dxa"/>
            <w:tcBorders>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7.8%</w:t>
            </w:r>
          </w:p>
        </w:tc>
        <w:tc>
          <w:tcPr>
            <w:tcW w:w="810" w:type="dxa"/>
            <w:tcBorders>
              <w:left w:val="single" w:sz="4" w:space="0" w:color="000000"/>
              <w:right w:val="single" w:sz="12" w:space="0" w:color="auto"/>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left w:val="single" w:sz="12" w:space="0" w:color="auto"/>
              <w:right w:val="single" w:sz="12" w:space="0" w:color="000000"/>
            </w:tcBorders>
            <w:shd w:val="clear" w:color="auto" w:fill="B6DDE8"/>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45 - 54</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6.3%</w:t>
            </w:r>
          </w:p>
        </w:tc>
        <w:tc>
          <w:tcPr>
            <w:tcW w:w="792"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82.6%</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2.8%</w:t>
            </w:r>
          </w:p>
        </w:tc>
        <w:tc>
          <w:tcPr>
            <w:tcW w:w="73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92"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1.5%</w:t>
            </w:r>
          </w:p>
        </w:tc>
        <w:tc>
          <w:tcPr>
            <w:tcW w:w="720" w:type="dxa"/>
            <w:tcBorders>
              <w:left w:val="single" w:sz="12" w:space="0" w:color="000000"/>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0.8%</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0.6%</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81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w:t>
            </w:r>
          </w:p>
        </w:tc>
        <w:tc>
          <w:tcPr>
            <w:tcW w:w="648"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0.7%</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w:t>
            </w:r>
          </w:p>
        </w:tc>
        <w:tc>
          <w:tcPr>
            <w:tcW w:w="720" w:type="dxa"/>
            <w:tcBorders>
              <w:left w:val="nil"/>
              <w:right w:val="single" w:sz="4"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B6DDE8"/>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left w:val="nil"/>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94.4%</w:t>
            </w:r>
          </w:p>
        </w:tc>
        <w:tc>
          <w:tcPr>
            <w:tcW w:w="810" w:type="dxa"/>
            <w:tcBorders>
              <w:left w:val="single" w:sz="4" w:space="0" w:color="000000"/>
              <w:right w:val="nil"/>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5.6%</w:t>
            </w:r>
          </w:p>
        </w:tc>
        <w:tc>
          <w:tcPr>
            <w:tcW w:w="810" w:type="dxa"/>
            <w:tcBorders>
              <w:left w:val="single" w:sz="4" w:space="0" w:color="000000"/>
              <w:right w:val="single" w:sz="12" w:space="0" w:color="auto"/>
            </w:tcBorders>
            <w:shd w:val="clear" w:color="auto" w:fill="B6DDE8"/>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82611" w:rsidTr="005375E7">
        <w:trPr>
          <w:trHeight w:val="20"/>
        </w:trPr>
        <w:tc>
          <w:tcPr>
            <w:tcW w:w="1188" w:type="dxa"/>
            <w:tcBorders>
              <w:left w:val="single" w:sz="12" w:space="0" w:color="auto"/>
              <w:right w:val="single" w:sz="12" w:space="0" w:color="000000"/>
            </w:tcBorders>
            <w:shd w:val="clear" w:color="auto" w:fill="auto"/>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55 - 64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8.6%</w:t>
            </w:r>
          </w:p>
        </w:tc>
        <w:tc>
          <w:tcPr>
            <w:tcW w:w="792"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59.5%</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13.1%</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5.4%</w:t>
            </w:r>
          </w:p>
        </w:tc>
        <w:tc>
          <w:tcPr>
            <w:tcW w:w="73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792"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3.4%</w:t>
            </w:r>
          </w:p>
        </w:tc>
        <w:tc>
          <w:tcPr>
            <w:tcW w:w="720" w:type="dxa"/>
            <w:tcBorders>
              <w:left w:val="single" w:sz="12" w:space="0" w:color="000000"/>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4.4%</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81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1.7%</w:t>
            </w:r>
          </w:p>
        </w:tc>
        <w:tc>
          <w:tcPr>
            <w:tcW w:w="648"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1.3%</w:t>
            </w:r>
          </w:p>
        </w:tc>
        <w:tc>
          <w:tcPr>
            <w:tcW w:w="720" w:type="dxa"/>
            <w:tcBorders>
              <w:left w:val="nil"/>
              <w:right w:val="single" w:sz="4"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810" w:type="dxa"/>
            <w:tcBorders>
              <w:left w:val="single" w:sz="4" w:space="0" w:color="000000"/>
              <w:right w:val="single" w:sz="12" w:space="0" w:color="000000"/>
            </w:tcBorders>
            <w:shd w:val="clear" w:color="auto" w:fill="auto"/>
            <w:noWrap/>
            <w:vAlign w:val="center"/>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810" w:type="dxa"/>
            <w:tcBorders>
              <w:left w:val="nil"/>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90.4%</w:t>
            </w:r>
          </w:p>
        </w:tc>
        <w:tc>
          <w:tcPr>
            <w:tcW w:w="810" w:type="dxa"/>
            <w:tcBorders>
              <w:left w:val="single" w:sz="4" w:space="0" w:color="000000"/>
              <w:right w:val="nil"/>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9.6%</w:t>
            </w:r>
          </w:p>
        </w:tc>
        <w:tc>
          <w:tcPr>
            <w:tcW w:w="810" w:type="dxa"/>
            <w:tcBorders>
              <w:left w:val="single" w:sz="4" w:space="0" w:color="000000"/>
              <w:right w:val="single" w:sz="12" w:space="0" w:color="auto"/>
            </w:tcBorders>
            <w:shd w:val="clear" w:color="auto" w:fill="auto"/>
            <w:noWrap/>
            <w:vAlign w:val="center"/>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right w:val="single" w:sz="12" w:space="0" w:color="000000"/>
            </w:tcBorders>
            <w:shd w:val="clear" w:color="auto" w:fill="B6DDE8"/>
            <w:hideMark/>
          </w:tcPr>
          <w:p w:rsidR="00E46B55" w:rsidRPr="00891AB4" w:rsidRDefault="00E46B55" w:rsidP="005375E7">
            <w:pPr>
              <w:spacing w:after="0" w:line="240" w:lineRule="auto"/>
              <w:rPr>
                <w:rFonts w:ascii="Arial" w:hAnsi="Arial" w:cs="Arial"/>
                <w:color w:val="000000"/>
                <w:sz w:val="14"/>
                <w:szCs w:val="18"/>
              </w:rPr>
            </w:pPr>
            <w:r>
              <w:rPr>
                <w:rFonts w:ascii="Arial" w:hAnsi="Arial" w:cs="Arial"/>
                <w:color w:val="000000"/>
                <w:sz w:val="14"/>
                <w:szCs w:val="18"/>
              </w:rPr>
              <w:t>65+</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2.9%</w:t>
            </w:r>
          </w:p>
        </w:tc>
        <w:tc>
          <w:tcPr>
            <w:tcW w:w="792"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5.7%</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34.2%</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9.0%</w:t>
            </w:r>
          </w:p>
        </w:tc>
        <w:tc>
          <w:tcPr>
            <w:tcW w:w="73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0.2%</w:t>
            </w:r>
          </w:p>
        </w:tc>
        <w:tc>
          <w:tcPr>
            <w:tcW w:w="792"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single" w:sz="12" w:space="0" w:color="000000"/>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19.9%</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23.6%</w:t>
            </w:r>
          </w:p>
        </w:tc>
        <w:tc>
          <w:tcPr>
            <w:tcW w:w="81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648"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20" w:type="dxa"/>
            <w:tcBorders>
              <w:top w:val="nil"/>
              <w:left w:val="nil"/>
              <w:right w:val="single" w:sz="4"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0.0%</w:t>
            </w:r>
          </w:p>
        </w:tc>
        <w:tc>
          <w:tcPr>
            <w:tcW w:w="72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0.9%</w:t>
            </w:r>
          </w:p>
        </w:tc>
        <w:tc>
          <w:tcPr>
            <w:tcW w:w="810" w:type="dxa"/>
            <w:tcBorders>
              <w:top w:val="nil"/>
              <w:left w:val="nil"/>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53.6%</w:t>
            </w:r>
          </w:p>
        </w:tc>
        <w:tc>
          <w:tcPr>
            <w:tcW w:w="810" w:type="dxa"/>
            <w:tcBorders>
              <w:top w:val="nil"/>
              <w:left w:val="single" w:sz="4" w:space="0" w:color="000000"/>
              <w:right w:val="nil"/>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46.4%</w:t>
            </w:r>
          </w:p>
        </w:tc>
        <w:tc>
          <w:tcPr>
            <w:tcW w:w="810" w:type="dxa"/>
            <w:tcBorders>
              <w:top w:val="nil"/>
              <w:left w:val="single" w:sz="4" w:space="0" w:color="000000"/>
              <w:right w:val="single" w:sz="12" w:space="0" w:color="000000"/>
            </w:tcBorders>
            <w:shd w:val="clear" w:color="auto" w:fill="B6DDE8"/>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r w:rsidR="00E46B55" w:rsidRPr="00017D27" w:rsidTr="005375E7">
        <w:trPr>
          <w:trHeight w:val="20"/>
        </w:trPr>
        <w:tc>
          <w:tcPr>
            <w:tcW w:w="1188" w:type="dxa"/>
            <w:tcBorders>
              <w:top w:val="nil"/>
              <w:left w:val="single" w:sz="12" w:space="0" w:color="000000"/>
              <w:bottom w:val="single" w:sz="4" w:space="0" w:color="auto"/>
              <w:right w:val="single" w:sz="12" w:space="0" w:color="000000"/>
            </w:tcBorders>
            <w:shd w:val="clear" w:color="auto" w:fill="auto"/>
            <w:hideMark/>
          </w:tcPr>
          <w:p w:rsidR="00E46B55" w:rsidRPr="00891AB4" w:rsidRDefault="00E46B55" w:rsidP="005375E7">
            <w:pPr>
              <w:spacing w:after="0" w:line="240" w:lineRule="auto"/>
              <w:rPr>
                <w:rFonts w:ascii="Arial" w:hAnsi="Arial" w:cs="Arial"/>
                <w:color w:val="000000"/>
                <w:sz w:val="14"/>
                <w:szCs w:val="18"/>
              </w:rPr>
            </w:pPr>
            <w:r w:rsidRPr="00891AB4">
              <w:rPr>
                <w:rFonts w:ascii="Arial" w:hAnsi="Arial" w:cs="Arial"/>
                <w:color w:val="000000"/>
                <w:sz w:val="14"/>
                <w:szCs w:val="18"/>
              </w:rPr>
              <w:t>Total</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5.8%</w:t>
            </w:r>
          </w:p>
        </w:tc>
        <w:tc>
          <w:tcPr>
            <w:tcW w:w="792"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68.5%</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7.1%</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3.6%</w:t>
            </w:r>
          </w:p>
        </w:tc>
        <w:tc>
          <w:tcPr>
            <w:tcW w:w="73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0.4%</w:t>
            </w:r>
          </w:p>
        </w:tc>
        <w:tc>
          <w:tcPr>
            <w:tcW w:w="792"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1.6%</w:t>
            </w:r>
          </w:p>
        </w:tc>
        <w:tc>
          <w:tcPr>
            <w:tcW w:w="720" w:type="dxa"/>
            <w:tcBorders>
              <w:top w:val="nil"/>
              <w:left w:val="single" w:sz="12" w:space="0" w:color="000000"/>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1.2%</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3.7%</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3.3%</w:t>
            </w:r>
          </w:p>
        </w:tc>
        <w:tc>
          <w:tcPr>
            <w:tcW w:w="81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2.2%</w:t>
            </w:r>
          </w:p>
        </w:tc>
        <w:tc>
          <w:tcPr>
            <w:tcW w:w="648"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0.6%</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1.1%</w:t>
            </w:r>
          </w:p>
        </w:tc>
        <w:tc>
          <w:tcPr>
            <w:tcW w:w="720" w:type="dxa"/>
            <w:tcBorders>
              <w:top w:val="nil"/>
              <w:left w:val="nil"/>
              <w:bottom w:val="single" w:sz="4" w:space="0" w:color="auto"/>
              <w:right w:val="single" w:sz="4"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0.1%</w:t>
            </w:r>
          </w:p>
        </w:tc>
        <w:tc>
          <w:tcPr>
            <w:tcW w:w="72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0.3%</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color w:val="000000"/>
                <w:sz w:val="14"/>
                <w:szCs w:val="14"/>
              </w:rPr>
            </w:pPr>
            <w:r w:rsidRPr="00DC7D64">
              <w:rPr>
                <w:rFonts w:ascii="Arial" w:hAnsi="Arial" w:cs="Arial"/>
                <w:color w:val="000000"/>
                <w:sz w:val="14"/>
                <w:szCs w:val="14"/>
              </w:rPr>
              <w:t>0.5%</w:t>
            </w:r>
          </w:p>
        </w:tc>
        <w:tc>
          <w:tcPr>
            <w:tcW w:w="810" w:type="dxa"/>
            <w:tcBorders>
              <w:top w:val="nil"/>
              <w:left w:val="nil"/>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87.0%</w:t>
            </w:r>
          </w:p>
        </w:tc>
        <w:tc>
          <w:tcPr>
            <w:tcW w:w="810" w:type="dxa"/>
            <w:tcBorders>
              <w:top w:val="nil"/>
              <w:left w:val="single" w:sz="4" w:space="0" w:color="000000"/>
              <w:bottom w:val="single" w:sz="4" w:space="0" w:color="auto"/>
              <w:right w:val="nil"/>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13.0%</w:t>
            </w:r>
          </w:p>
        </w:tc>
        <w:tc>
          <w:tcPr>
            <w:tcW w:w="810" w:type="dxa"/>
            <w:tcBorders>
              <w:top w:val="nil"/>
              <w:left w:val="single" w:sz="4" w:space="0" w:color="000000"/>
              <w:bottom w:val="single" w:sz="4" w:space="0" w:color="auto"/>
              <w:right w:val="single" w:sz="12" w:space="0" w:color="000000"/>
            </w:tcBorders>
            <w:shd w:val="clear" w:color="auto" w:fill="auto"/>
            <w:noWrap/>
            <w:vAlign w:val="center"/>
            <w:hideMark/>
          </w:tcPr>
          <w:p w:rsidR="00E46B55" w:rsidRPr="00DC7D64" w:rsidRDefault="00E46B55" w:rsidP="005375E7">
            <w:pPr>
              <w:spacing w:after="0" w:line="240" w:lineRule="auto"/>
              <w:jc w:val="right"/>
              <w:rPr>
                <w:rFonts w:ascii="Arial" w:hAnsi="Arial" w:cs="Arial"/>
                <w:b/>
                <w:bCs/>
                <w:color w:val="000000"/>
                <w:sz w:val="14"/>
                <w:szCs w:val="14"/>
              </w:rPr>
            </w:pPr>
            <w:r w:rsidRPr="00DC7D64">
              <w:rPr>
                <w:rFonts w:ascii="Arial" w:hAnsi="Arial" w:cs="Arial"/>
                <w:b/>
                <w:bCs/>
                <w:color w:val="000000"/>
                <w:sz w:val="14"/>
                <w:szCs w:val="14"/>
              </w:rPr>
              <w:t>100.0%</w:t>
            </w:r>
          </w:p>
        </w:tc>
      </w:tr>
    </w:tbl>
    <w:p w:rsidR="00DA590F" w:rsidRDefault="00DA590F" w:rsidP="00A601D5"/>
    <w:p w:rsidR="000A1FF1" w:rsidRDefault="000A1FF1" w:rsidP="00CA61D2">
      <w:pPr>
        <w:spacing w:after="0"/>
        <w:sectPr w:rsidR="000A1FF1" w:rsidSect="00F57448">
          <w:headerReference w:type="default" r:id="rId60"/>
          <w:footerReference w:type="default" r:id="rId61"/>
          <w:pgSz w:w="15840" w:h="12240" w:orient="landscape"/>
          <w:pgMar w:top="432" w:right="720" w:bottom="720" w:left="720" w:header="360" w:footer="360" w:gutter="0"/>
          <w:cols w:space="708"/>
          <w:docGrid w:linePitch="360"/>
        </w:sectPr>
      </w:pPr>
    </w:p>
    <w:tbl>
      <w:tblPr>
        <w:tblW w:w="10895" w:type="dxa"/>
        <w:jc w:val="center"/>
        <w:tblInd w:w="125" w:type="dxa"/>
        <w:tblLook w:val="04A0" w:firstRow="1" w:lastRow="0" w:firstColumn="1" w:lastColumn="0" w:noHBand="0" w:noVBand="1"/>
      </w:tblPr>
      <w:tblGrid>
        <w:gridCol w:w="2535"/>
        <w:gridCol w:w="988"/>
        <w:gridCol w:w="1277"/>
        <w:gridCol w:w="988"/>
        <w:gridCol w:w="1127"/>
        <w:gridCol w:w="1100"/>
        <w:gridCol w:w="960"/>
        <w:gridCol w:w="960"/>
        <w:gridCol w:w="960"/>
      </w:tblGrid>
      <w:tr w:rsidR="007150AD" w:rsidRPr="007150AD" w:rsidTr="007150AD">
        <w:trPr>
          <w:trHeight w:val="20"/>
          <w:jc w:val="center"/>
        </w:trPr>
        <w:tc>
          <w:tcPr>
            <w:tcW w:w="10895" w:type="dxa"/>
            <w:gridSpan w:val="9"/>
            <w:tcBorders>
              <w:top w:val="single" w:sz="12" w:space="0" w:color="auto"/>
              <w:left w:val="single" w:sz="12" w:space="0" w:color="auto"/>
              <w:bottom w:val="single" w:sz="12" w:space="0" w:color="000000"/>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sz w:val="18"/>
                <w:szCs w:val="18"/>
              </w:rPr>
            </w:pPr>
            <w:r w:rsidRPr="007150AD">
              <w:rPr>
                <w:rFonts w:ascii="Arial" w:eastAsia="Times New Roman" w:hAnsi="Arial" w:cs="Arial"/>
                <w:b/>
                <w:bCs/>
                <w:sz w:val="18"/>
                <w:szCs w:val="18"/>
              </w:rPr>
              <w:lastRenderedPageBreak/>
              <w:t>Appendix Table 4a. Before-tax and after-tax incomes of working-age people with disabilities, by low income status and province</w:t>
            </w:r>
            <w:r w:rsidR="00700228">
              <w:rPr>
                <w:rFonts w:ascii="Arial" w:eastAsia="Times New Roman" w:hAnsi="Arial" w:cs="Arial"/>
                <w:b/>
                <w:bCs/>
                <w:sz w:val="18"/>
                <w:szCs w:val="18"/>
              </w:rPr>
              <w:t xml:space="preserve"> </w:t>
            </w:r>
            <w:r w:rsidR="00700228" w:rsidRPr="00700228">
              <w:rPr>
                <w:rFonts w:ascii="Arial" w:eastAsia="Times New Roman" w:hAnsi="Arial" w:cs="Arial"/>
                <w:b/>
                <w:bCs/>
                <w:sz w:val="18"/>
                <w:szCs w:val="18"/>
              </w:rPr>
              <w:t>(Source: SLID 2009 PUMF)</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auto" w:fill="auto"/>
            <w:noWrap/>
            <w:vAlign w:val="bottom"/>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 </w:t>
            </w:r>
          </w:p>
        </w:tc>
        <w:tc>
          <w:tcPr>
            <w:tcW w:w="106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Market income</w:t>
            </w:r>
          </w:p>
        </w:tc>
        <w:tc>
          <w:tcPr>
            <w:tcW w:w="120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Government transfers (federal &amp; provincial)</w:t>
            </w:r>
          </w:p>
        </w:tc>
        <w:tc>
          <w:tcPr>
            <w:tcW w:w="106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Total income before taxes</w:t>
            </w:r>
          </w:p>
        </w:tc>
        <w:tc>
          <w:tcPr>
            <w:tcW w:w="103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Income tax (federal plus provincial)</w:t>
            </w:r>
          </w:p>
        </w:tc>
        <w:tc>
          <w:tcPr>
            <w:tcW w:w="1100" w:type="dxa"/>
            <w:tcBorders>
              <w:top w:val="nil"/>
              <w:left w:val="nil"/>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After-tax income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Tax rate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market income</w:t>
            </w:r>
          </w:p>
        </w:tc>
        <w:tc>
          <w:tcPr>
            <w:tcW w:w="960" w:type="dxa"/>
            <w:tcBorders>
              <w:top w:val="nil"/>
              <w:left w:val="single" w:sz="4" w:space="0" w:color="000000"/>
              <w:bottom w:val="single" w:sz="12" w:space="0" w:color="000000"/>
              <w:right w:val="single" w:sz="12"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transfer income</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Low income</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$1,153</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$7,280</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$8,432</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$376</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$8,056</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4.5%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13.7%</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86.3%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$3,515</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$6,135</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$9,650</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$9,608</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0.4%</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36.4%</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63.6%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$2,140</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$6,425</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$8,565</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$8,526</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0.5%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25.0%</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75.0%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$1,284</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$6,487</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$7,771</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$23</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$7,748</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0.3%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16.5%</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83.5%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$2,786</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$7,462</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$10,248</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$211</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$10,037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27.2%</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72.8%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$3,788</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$6,905</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$10,693</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$117</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$10,576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1.1%</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35.4%</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64.6%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$4,089</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$6,443</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$10,532</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$427</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$10,105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4.1%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38.8%</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61.2%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$2,754</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$7,071</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$9,825</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$223</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$9,603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28.0%</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72.0%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$6,526</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$4,956</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$11,482</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$677</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$10,805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5.9%</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56.8%</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43.2%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$3,747</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$5,843</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$9,590</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$9,562</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0.3%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39.1%</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60.9%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$3,594</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$6,741</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$10,335</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$174</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$10,161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34.8%</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65.2%</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Incomes at or above the LICO</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$21,068</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$6,933</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$28,001</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$3,603</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$24,398</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12.9%</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75.2%</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24.8%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$24,584</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$6,359</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$30,943</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$4,000</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$26,943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12.9%</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79.4%</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20.6%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$24,060</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$4,533</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$28,593</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$3,920</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$24,673</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84.1%</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15.9%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$25,437</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$4,479</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$29,915</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$4,124</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$25,791</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13.8%</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85.0%</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15.0%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$26,242</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$4,904</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$31,145</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$4,538</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$26,607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14.6%</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84.3%</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15.7%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$29,758</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$4,715</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$34,473</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$5,020</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$29,453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86.3%</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$33,398</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$3,401</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$36,799</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$5,992</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$30,807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16.3%</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90.8%</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$34,543</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$3,377</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$37,919</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$5,322</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$32,598</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14.0%</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91.1%</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$38,501</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$4,005</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$42,506</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$6,170</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$36,337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90.6%</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$30,409</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$3,189</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$33,598</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$3,829</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$29,769</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11.4%</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90.5%</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9.5%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$29,852</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$4,420</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$34,271</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$4,846</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$29,426</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87.1%</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12.9%</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All incomes</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$18,427</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$6,979</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$25,406</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$3,175</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$22,231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72.5%</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27.5%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$22,765</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$6,340</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$29,105</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$3,658</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$25,446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78.2%</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21.8%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$21,403</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$4,762</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$26,165</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$3,449</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$22,715</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13.2%</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81.8%</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18.2%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$21,679</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$4,791</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$26,470</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$3,486</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$22,984</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13.2%</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81.9%</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18.1%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$21,743</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$5,394</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$27,137</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$3,708</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$23,429</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80.1%</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19.9%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$24,713</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$5,140</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$29,853</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$4,068</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$25,785</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82.8%</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17.2%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$29,037</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$3,854</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$32,891</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$5,164</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$27,727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15.7%</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88.3%</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11.7%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$30,734</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$3,819</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$34,554</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$4,711</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$29,843</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13.6%</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88.9%</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11.1%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$34,787</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$4,116</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$38,902</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$5,532</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$33,371</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14.2%</w:t>
            </w:r>
          </w:p>
        </w:tc>
        <w:tc>
          <w:tcPr>
            <w:tcW w:w="96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89.4%</w:t>
            </w:r>
          </w:p>
        </w:tc>
        <w:tc>
          <w:tcPr>
            <w:tcW w:w="960" w:type="dxa"/>
            <w:tcBorders>
              <w:top w:val="nil"/>
              <w:left w:val="nil"/>
              <w:bottom w:val="nil"/>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10.6%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$25,626</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$3,665</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$29,291</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$3,147</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$26,144</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10.7%</w:t>
            </w:r>
          </w:p>
        </w:tc>
        <w:tc>
          <w:tcPr>
            <w:tcW w:w="96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87.5%</w:t>
            </w:r>
          </w:p>
        </w:tc>
        <w:tc>
          <w:tcPr>
            <w:tcW w:w="960" w:type="dxa"/>
            <w:tcBorders>
              <w:top w:val="nil"/>
              <w:left w:val="nil"/>
              <w:bottom w:val="nil"/>
              <w:right w:val="single" w:sz="12"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12.5%</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single" w:sz="12" w:space="0" w:color="000000"/>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$25,236</w:t>
            </w:r>
          </w:p>
        </w:tc>
        <w:tc>
          <w:tcPr>
            <w:tcW w:w="1207" w:type="dxa"/>
            <w:tcBorders>
              <w:top w:val="nil"/>
              <w:left w:val="nil"/>
              <w:bottom w:val="single" w:sz="12" w:space="0" w:color="000000"/>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$4,828</w:t>
            </w:r>
          </w:p>
        </w:tc>
        <w:tc>
          <w:tcPr>
            <w:tcW w:w="1068" w:type="dxa"/>
            <w:tcBorders>
              <w:top w:val="nil"/>
              <w:left w:val="nil"/>
              <w:bottom w:val="single" w:sz="12" w:space="0" w:color="000000"/>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$30,064</w:t>
            </w:r>
          </w:p>
        </w:tc>
        <w:tc>
          <w:tcPr>
            <w:tcW w:w="1037" w:type="dxa"/>
            <w:tcBorders>
              <w:top w:val="nil"/>
              <w:left w:val="nil"/>
              <w:bottom w:val="single" w:sz="12" w:space="0" w:color="000000"/>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$4,025</w:t>
            </w:r>
          </w:p>
        </w:tc>
        <w:tc>
          <w:tcPr>
            <w:tcW w:w="1100" w:type="dxa"/>
            <w:tcBorders>
              <w:top w:val="nil"/>
              <w:left w:val="nil"/>
              <w:bottom w:val="single" w:sz="12" w:space="0" w:color="000000"/>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$26,039</w:t>
            </w:r>
          </w:p>
        </w:tc>
        <w:tc>
          <w:tcPr>
            <w:tcW w:w="960" w:type="dxa"/>
            <w:tcBorders>
              <w:top w:val="nil"/>
              <w:left w:val="nil"/>
              <w:bottom w:val="single" w:sz="12" w:space="0" w:color="000000"/>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13.4%</w:t>
            </w:r>
          </w:p>
        </w:tc>
        <w:tc>
          <w:tcPr>
            <w:tcW w:w="960" w:type="dxa"/>
            <w:tcBorders>
              <w:top w:val="nil"/>
              <w:left w:val="nil"/>
              <w:bottom w:val="single" w:sz="12" w:space="0" w:color="000000"/>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83.9%</w:t>
            </w:r>
          </w:p>
        </w:tc>
        <w:tc>
          <w:tcPr>
            <w:tcW w:w="960" w:type="dxa"/>
            <w:tcBorders>
              <w:top w:val="nil"/>
              <w:left w:val="nil"/>
              <w:bottom w:val="single" w:sz="12" w:space="0" w:color="000000"/>
              <w:right w:val="single" w:sz="12"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sz w:val="18"/>
                <w:szCs w:val="18"/>
              </w:rPr>
            </w:pPr>
            <w:r w:rsidRPr="007150AD">
              <w:rPr>
                <w:rFonts w:ascii="Arial" w:eastAsia="Times New Roman" w:hAnsi="Arial" w:cs="Arial"/>
                <w:sz w:val="18"/>
                <w:szCs w:val="18"/>
              </w:rPr>
              <w:t>16.1%</w:t>
            </w:r>
          </w:p>
        </w:tc>
      </w:tr>
    </w:tbl>
    <w:p w:rsidR="007150AD" w:rsidRPr="007150AD" w:rsidRDefault="007150AD" w:rsidP="007150AD">
      <w:pPr>
        <w:rPr>
          <w:rFonts w:ascii="Arial" w:hAnsi="Arial" w:cs="Arial"/>
          <w:sz w:val="18"/>
          <w:szCs w:val="18"/>
        </w:rPr>
      </w:pPr>
    </w:p>
    <w:p w:rsidR="007150AD" w:rsidRPr="007150AD" w:rsidRDefault="007150AD" w:rsidP="007150AD">
      <w:pPr>
        <w:rPr>
          <w:rFonts w:ascii="Arial" w:hAnsi="Arial" w:cs="Arial"/>
          <w:sz w:val="18"/>
          <w:szCs w:val="18"/>
        </w:rPr>
      </w:pPr>
      <w:r w:rsidRPr="007150AD">
        <w:rPr>
          <w:rFonts w:ascii="Arial" w:hAnsi="Arial" w:cs="Arial"/>
          <w:sz w:val="18"/>
          <w:szCs w:val="18"/>
        </w:rPr>
        <w:br w:type="page"/>
      </w:r>
    </w:p>
    <w:tbl>
      <w:tblPr>
        <w:tblW w:w="10895" w:type="dxa"/>
        <w:jc w:val="center"/>
        <w:tblInd w:w="125" w:type="dxa"/>
        <w:tblLook w:val="04A0" w:firstRow="1" w:lastRow="0" w:firstColumn="1" w:lastColumn="0" w:noHBand="0" w:noVBand="1"/>
      </w:tblPr>
      <w:tblGrid>
        <w:gridCol w:w="2535"/>
        <w:gridCol w:w="988"/>
        <w:gridCol w:w="1277"/>
        <w:gridCol w:w="988"/>
        <w:gridCol w:w="1127"/>
        <w:gridCol w:w="1100"/>
        <w:gridCol w:w="960"/>
        <w:gridCol w:w="960"/>
        <w:gridCol w:w="960"/>
      </w:tblGrid>
      <w:tr w:rsidR="007150AD" w:rsidRPr="007150AD" w:rsidTr="007150AD">
        <w:trPr>
          <w:trHeight w:val="20"/>
          <w:jc w:val="center"/>
        </w:trPr>
        <w:tc>
          <w:tcPr>
            <w:tcW w:w="10895" w:type="dxa"/>
            <w:gridSpan w:val="9"/>
            <w:tcBorders>
              <w:top w:val="single" w:sz="12" w:space="0" w:color="auto"/>
              <w:left w:val="single" w:sz="12" w:space="0" w:color="auto"/>
              <w:bottom w:val="single" w:sz="12" w:space="0" w:color="000000"/>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sz w:val="18"/>
                <w:szCs w:val="18"/>
              </w:rPr>
            </w:pPr>
            <w:r w:rsidRPr="007150AD">
              <w:rPr>
                <w:rFonts w:ascii="Arial" w:eastAsia="Times New Roman" w:hAnsi="Arial" w:cs="Arial"/>
                <w:b/>
                <w:bCs/>
                <w:sz w:val="18"/>
                <w:szCs w:val="18"/>
              </w:rPr>
              <w:t>Appendix Table 4b. Before-tax and after-tax incomes of working-age people without disabilities, by low income status and province</w:t>
            </w:r>
            <w:r w:rsidR="00700228">
              <w:rPr>
                <w:rFonts w:ascii="Arial" w:eastAsia="Times New Roman" w:hAnsi="Arial" w:cs="Arial"/>
                <w:b/>
                <w:bCs/>
                <w:sz w:val="18"/>
                <w:szCs w:val="18"/>
              </w:rPr>
              <w:t xml:space="preserve"> </w:t>
            </w:r>
            <w:r w:rsidR="00700228" w:rsidRPr="00700228">
              <w:rPr>
                <w:rFonts w:ascii="Arial" w:eastAsia="Times New Roman" w:hAnsi="Arial" w:cs="Arial"/>
                <w:b/>
                <w:bCs/>
                <w:sz w:val="18"/>
                <w:szCs w:val="18"/>
              </w:rPr>
              <w:t>(Source: SLID 2009 PUMF)</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auto" w:fill="auto"/>
            <w:noWrap/>
            <w:vAlign w:val="bottom"/>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 </w:t>
            </w:r>
          </w:p>
        </w:tc>
        <w:tc>
          <w:tcPr>
            <w:tcW w:w="106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Market income</w:t>
            </w:r>
          </w:p>
        </w:tc>
        <w:tc>
          <w:tcPr>
            <w:tcW w:w="120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Government transfers (federal &amp; provincial)</w:t>
            </w:r>
          </w:p>
        </w:tc>
        <w:tc>
          <w:tcPr>
            <w:tcW w:w="106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Total income before taxes</w:t>
            </w:r>
          </w:p>
        </w:tc>
        <w:tc>
          <w:tcPr>
            <w:tcW w:w="103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Income tax (federal plus provincial)</w:t>
            </w:r>
          </w:p>
        </w:tc>
        <w:tc>
          <w:tcPr>
            <w:tcW w:w="1100" w:type="dxa"/>
            <w:tcBorders>
              <w:top w:val="nil"/>
              <w:left w:val="nil"/>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After-tax income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Tax rate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market income</w:t>
            </w:r>
          </w:p>
        </w:tc>
        <w:tc>
          <w:tcPr>
            <w:tcW w:w="960" w:type="dxa"/>
            <w:tcBorders>
              <w:top w:val="nil"/>
              <w:left w:val="single" w:sz="4" w:space="0" w:color="000000"/>
              <w:bottom w:val="single" w:sz="12" w:space="0" w:color="000000"/>
              <w:right w:val="single" w:sz="12"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transfer income</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Low income</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$3,615</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$6,618</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$10,233</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$283</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$9,950</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35.3%</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$3,093</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$6,841</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$9,934</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$482</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$9,452</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31.1%</w:t>
            </w:r>
          </w:p>
        </w:tc>
        <w:tc>
          <w:tcPr>
            <w:tcW w:w="960" w:type="dxa"/>
            <w:tcBorders>
              <w:top w:val="nil"/>
              <w:left w:val="nil"/>
              <w:bottom w:val="nil"/>
              <w:right w:val="single" w:sz="12"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68.9%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$6,563</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$2,870</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$9,433</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$507</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$8,926</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69.6%</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$5,420</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$3,400</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$8,820</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$306</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$8,514</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61.5%</w:t>
            </w:r>
          </w:p>
        </w:tc>
        <w:tc>
          <w:tcPr>
            <w:tcW w:w="960" w:type="dxa"/>
            <w:tcBorders>
              <w:top w:val="nil"/>
              <w:left w:val="nil"/>
              <w:bottom w:val="nil"/>
              <w:right w:val="single" w:sz="12"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$7,295</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$4,464</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$11,759</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$492</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$11,268</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62.0%</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$7,646</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$3,251</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$10,897</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$737</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$10,160</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6.8%</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70.2%</w:t>
            </w:r>
          </w:p>
        </w:tc>
        <w:tc>
          <w:tcPr>
            <w:tcW w:w="960" w:type="dxa"/>
            <w:tcBorders>
              <w:top w:val="nil"/>
              <w:left w:val="nil"/>
              <w:bottom w:val="nil"/>
              <w:right w:val="single" w:sz="12"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$8,361</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$3,698</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$12,059</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$606</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$11,453</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69.3%</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$5,859</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$4,319</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$10,178</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$327</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$9,851</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57.6%</w:t>
            </w:r>
          </w:p>
        </w:tc>
        <w:tc>
          <w:tcPr>
            <w:tcW w:w="960" w:type="dxa"/>
            <w:tcBorders>
              <w:top w:val="nil"/>
              <w:left w:val="nil"/>
              <w:bottom w:val="nil"/>
              <w:right w:val="single" w:sz="12"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$14,230</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$2,991</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$17,220</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$1,751</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$15,469</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10.2%</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82.6%</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$9,223</w:t>
            </w:r>
          </w:p>
        </w:tc>
        <w:tc>
          <w:tcPr>
            <w:tcW w:w="1207"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$2,555</w:t>
            </w:r>
          </w:p>
        </w:tc>
        <w:tc>
          <w:tcPr>
            <w:tcW w:w="1068" w:type="dxa"/>
            <w:tcBorders>
              <w:top w:val="nil"/>
              <w:left w:val="nil"/>
              <w:bottom w:val="nil"/>
              <w:right w:val="single" w:sz="4" w:space="0" w:color="000000"/>
            </w:tcBorders>
            <w:shd w:val="clear" w:color="auto" w:fill="auto"/>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$11,778</w:t>
            </w:r>
          </w:p>
        </w:tc>
        <w:tc>
          <w:tcPr>
            <w:tcW w:w="1037" w:type="dxa"/>
            <w:tcBorders>
              <w:top w:val="nil"/>
              <w:left w:val="nil"/>
              <w:bottom w:val="nil"/>
              <w:right w:val="single" w:sz="4" w:space="0" w:color="000000"/>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$981</w:t>
            </w:r>
          </w:p>
        </w:tc>
        <w:tc>
          <w:tcPr>
            <w:tcW w:w="1100" w:type="dxa"/>
            <w:tcBorders>
              <w:top w:val="nil"/>
              <w:left w:val="nil"/>
              <w:bottom w:val="nil"/>
              <w:right w:val="single" w:sz="4" w:space="0" w:color="auto"/>
            </w:tcBorders>
            <w:shd w:val="clear" w:color="auto" w:fill="auto"/>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$10,797</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8.3%</w:t>
            </w:r>
          </w:p>
        </w:tc>
        <w:tc>
          <w:tcPr>
            <w:tcW w:w="960" w:type="dxa"/>
            <w:tcBorders>
              <w:top w:val="nil"/>
              <w:left w:val="nil"/>
              <w:bottom w:val="nil"/>
              <w:right w:val="single" w:sz="4"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78.3%</w:t>
            </w:r>
          </w:p>
        </w:tc>
        <w:tc>
          <w:tcPr>
            <w:tcW w:w="960" w:type="dxa"/>
            <w:tcBorders>
              <w:top w:val="nil"/>
              <w:left w:val="nil"/>
              <w:bottom w:val="nil"/>
              <w:right w:val="single" w:sz="12" w:space="0" w:color="auto"/>
            </w:tcBorders>
            <w:shd w:val="clear" w:color="auto" w:fill="auto"/>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$8,527</w:t>
            </w:r>
          </w:p>
        </w:tc>
        <w:tc>
          <w:tcPr>
            <w:tcW w:w="1207"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$3,413</w:t>
            </w:r>
          </w:p>
        </w:tc>
        <w:tc>
          <w:tcPr>
            <w:tcW w:w="1068" w:type="dxa"/>
            <w:tcBorders>
              <w:top w:val="nil"/>
              <w:left w:val="nil"/>
              <w:bottom w:val="nil"/>
              <w:right w:val="single" w:sz="4" w:space="0" w:color="000000"/>
            </w:tcBorders>
            <w:shd w:val="clear" w:color="000000" w:fill="B8CCE4"/>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$11,940</w:t>
            </w:r>
          </w:p>
        </w:tc>
        <w:tc>
          <w:tcPr>
            <w:tcW w:w="1037" w:type="dxa"/>
            <w:tcBorders>
              <w:top w:val="nil"/>
              <w:left w:val="nil"/>
              <w:bottom w:val="nil"/>
              <w:right w:val="single" w:sz="4" w:space="0" w:color="000000"/>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$820</w:t>
            </w:r>
          </w:p>
        </w:tc>
        <w:tc>
          <w:tcPr>
            <w:tcW w:w="1100" w:type="dxa"/>
            <w:tcBorders>
              <w:top w:val="nil"/>
              <w:left w:val="nil"/>
              <w:bottom w:val="nil"/>
              <w:right w:val="single" w:sz="4" w:space="0" w:color="auto"/>
            </w:tcBorders>
            <w:shd w:val="clear" w:color="000000" w:fill="B8CCE4"/>
            <w:noWrap/>
            <w:vAlign w:val="center"/>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$11,120</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w:t>
            </w:r>
          </w:p>
        </w:tc>
        <w:tc>
          <w:tcPr>
            <w:tcW w:w="960" w:type="dxa"/>
            <w:tcBorders>
              <w:top w:val="nil"/>
              <w:left w:val="nil"/>
              <w:bottom w:val="nil"/>
              <w:right w:val="single" w:sz="4"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71.4%</w:t>
            </w:r>
          </w:p>
        </w:tc>
        <w:tc>
          <w:tcPr>
            <w:tcW w:w="960" w:type="dxa"/>
            <w:tcBorders>
              <w:top w:val="nil"/>
              <w:left w:val="nil"/>
              <w:bottom w:val="nil"/>
              <w:right w:val="single" w:sz="12" w:space="0" w:color="auto"/>
            </w:tcBorders>
            <w:shd w:val="clear" w:color="000000" w:fill="B8CCE4"/>
            <w:noWrap/>
            <w:vAlign w:val="bottom"/>
            <w:hideMark/>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28.6%</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Incomes at or above the LICO</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$32,885</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$4,293</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$37,178</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$5,783</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$31,394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88.5%</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$30,870</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$3,231</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$34,101</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$5,133</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$28,968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90.5%</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$36,102</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$2,280</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$38,383</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$6,590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$31,793</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94.1%</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$33,439</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$2,866</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$36,306</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$5,696</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$30,610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15.7%</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92.1%</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$35,299</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$2,939</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$38,238</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$6,449</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$31,789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92.3%</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$40,459</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$1,924</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$42,382</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$7,056</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$35,326</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16.6%</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95.5%</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$38,636</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$1,794</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$40,430</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$7,080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$33,350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95.6%</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$42,642</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$1,719</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$44,361</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$7,399</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$36,962</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16.7%</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96.1%</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$49,216</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$1,522</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$50,738</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$8,798</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$41,939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17.3%</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97.0%</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$40,885</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$1,784</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$42,669</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$6,406</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$36,264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95.8%</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$39,824</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$2,171</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$41,995</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$6,959</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$35,036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94.8%</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5.2%</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All incomes</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$31,542</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$4,400</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$35,941</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$5,531</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$30,410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87.8%</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12.2%</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$30,233</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$3,314</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$33,547</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$5,027</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$28,521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90.1%</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$34,052</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$2,321</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$36,374</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$6,168</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$30,206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93.6%</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$31,967</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$2,894</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$34,862</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$5,413</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$29,449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15.5%</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91.7%</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$33,231</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$3,052</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$36,283</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$6,009</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$30,274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91.6%</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$37,855</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$2,029</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$39,884</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$6,555</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$33,329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94.9%</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$36,078</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$1,955</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$38,033</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$6,533</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$31,500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94.9%</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$40,733</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$1,854</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$42,587</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$7,032</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$35,555</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16.5%</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95.6%</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$46,379</w:t>
            </w:r>
          </w:p>
        </w:tc>
        <w:tc>
          <w:tcPr>
            <w:tcW w:w="120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$1,641</w:t>
            </w:r>
          </w:p>
        </w:tc>
        <w:tc>
          <w:tcPr>
            <w:tcW w:w="106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$48,020</w:t>
            </w:r>
          </w:p>
        </w:tc>
        <w:tc>
          <w:tcPr>
            <w:tcW w:w="103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$8,227</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$39,793</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96.6%</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$37,252</w:t>
            </w:r>
          </w:p>
        </w:tc>
        <w:tc>
          <w:tcPr>
            <w:tcW w:w="120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$1,872</w:t>
            </w:r>
          </w:p>
        </w:tc>
        <w:tc>
          <w:tcPr>
            <w:tcW w:w="106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$39,124</w:t>
            </w:r>
          </w:p>
        </w:tc>
        <w:tc>
          <w:tcPr>
            <w:tcW w:w="103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$5,783</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$33,341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95.2%</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1068"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$37,292</w:t>
            </w:r>
          </w:p>
        </w:tc>
        <w:tc>
          <w:tcPr>
            <w:tcW w:w="1207"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$2,272</w:t>
            </w:r>
          </w:p>
        </w:tc>
        <w:tc>
          <w:tcPr>
            <w:tcW w:w="1068"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$39,564</w:t>
            </w:r>
          </w:p>
        </w:tc>
        <w:tc>
          <w:tcPr>
            <w:tcW w:w="1037" w:type="dxa"/>
            <w:tcBorders>
              <w:top w:val="nil"/>
              <w:left w:val="nil"/>
              <w:bottom w:val="single" w:sz="12" w:space="0" w:color="000000"/>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$6,462</w:t>
            </w:r>
          </w:p>
        </w:tc>
        <w:tc>
          <w:tcPr>
            <w:tcW w:w="1100" w:type="dxa"/>
            <w:tcBorders>
              <w:top w:val="nil"/>
              <w:left w:val="nil"/>
              <w:bottom w:val="single" w:sz="12" w:space="0" w:color="000000"/>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$33,101</w:t>
            </w:r>
          </w:p>
        </w:tc>
        <w:tc>
          <w:tcPr>
            <w:tcW w:w="960" w:type="dxa"/>
            <w:tcBorders>
              <w:top w:val="nil"/>
              <w:left w:val="nil"/>
              <w:bottom w:val="single" w:sz="12" w:space="0" w:color="000000"/>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16.3%</w:t>
            </w:r>
          </w:p>
        </w:tc>
        <w:tc>
          <w:tcPr>
            <w:tcW w:w="960" w:type="dxa"/>
            <w:tcBorders>
              <w:top w:val="nil"/>
              <w:left w:val="nil"/>
              <w:bottom w:val="single" w:sz="12" w:space="0" w:color="000000"/>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94.3%</w:t>
            </w:r>
          </w:p>
        </w:tc>
        <w:tc>
          <w:tcPr>
            <w:tcW w:w="960" w:type="dxa"/>
            <w:tcBorders>
              <w:top w:val="nil"/>
              <w:left w:val="nil"/>
              <w:bottom w:val="single" w:sz="12" w:space="0" w:color="000000"/>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w:t>
            </w:r>
          </w:p>
        </w:tc>
      </w:tr>
    </w:tbl>
    <w:p w:rsidR="007150AD" w:rsidRPr="007150AD" w:rsidRDefault="007150AD" w:rsidP="007150AD">
      <w:pPr>
        <w:rPr>
          <w:rFonts w:ascii="Arial" w:hAnsi="Arial" w:cs="Arial"/>
          <w:sz w:val="18"/>
          <w:szCs w:val="18"/>
        </w:rPr>
      </w:pPr>
    </w:p>
    <w:p w:rsidR="007150AD" w:rsidRPr="007150AD" w:rsidRDefault="007150AD" w:rsidP="007150AD">
      <w:pPr>
        <w:rPr>
          <w:rFonts w:ascii="Arial" w:hAnsi="Arial" w:cs="Arial"/>
          <w:sz w:val="18"/>
          <w:szCs w:val="18"/>
        </w:rPr>
      </w:pPr>
      <w:r w:rsidRPr="007150AD">
        <w:rPr>
          <w:rFonts w:ascii="Arial" w:hAnsi="Arial" w:cs="Arial"/>
          <w:sz w:val="18"/>
          <w:szCs w:val="18"/>
        </w:rPr>
        <w:br w:type="page"/>
      </w:r>
    </w:p>
    <w:tbl>
      <w:tblPr>
        <w:tblW w:w="10895" w:type="dxa"/>
        <w:jc w:val="center"/>
        <w:tblInd w:w="125" w:type="dxa"/>
        <w:tblLook w:val="04A0" w:firstRow="1" w:lastRow="0" w:firstColumn="1" w:lastColumn="0" w:noHBand="0" w:noVBand="1"/>
      </w:tblPr>
      <w:tblGrid>
        <w:gridCol w:w="2535"/>
        <w:gridCol w:w="988"/>
        <w:gridCol w:w="1277"/>
        <w:gridCol w:w="988"/>
        <w:gridCol w:w="1127"/>
        <w:gridCol w:w="1100"/>
        <w:gridCol w:w="960"/>
        <w:gridCol w:w="960"/>
        <w:gridCol w:w="960"/>
      </w:tblGrid>
      <w:tr w:rsidR="007150AD" w:rsidRPr="007150AD" w:rsidTr="007150AD">
        <w:trPr>
          <w:trHeight w:val="20"/>
          <w:jc w:val="center"/>
        </w:trPr>
        <w:tc>
          <w:tcPr>
            <w:tcW w:w="10895" w:type="dxa"/>
            <w:gridSpan w:val="9"/>
            <w:tcBorders>
              <w:top w:val="single" w:sz="12" w:space="0" w:color="auto"/>
              <w:left w:val="single" w:sz="12" w:space="0" w:color="auto"/>
              <w:bottom w:val="single" w:sz="12" w:space="0" w:color="000000"/>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sz w:val="18"/>
                <w:szCs w:val="18"/>
              </w:rPr>
            </w:pPr>
            <w:r w:rsidRPr="007150AD">
              <w:rPr>
                <w:rFonts w:ascii="Arial" w:eastAsia="Times New Roman" w:hAnsi="Arial" w:cs="Arial"/>
                <w:b/>
                <w:bCs/>
                <w:sz w:val="18"/>
                <w:szCs w:val="18"/>
              </w:rPr>
              <w:t>Appendix Table 4c. Before-tax and after-tax incomes of working-age people with and without disabilities, by low income status and province</w:t>
            </w:r>
            <w:r w:rsidR="00700228">
              <w:rPr>
                <w:rFonts w:ascii="Arial" w:eastAsia="Times New Roman" w:hAnsi="Arial" w:cs="Arial"/>
                <w:b/>
                <w:bCs/>
                <w:sz w:val="18"/>
                <w:szCs w:val="18"/>
              </w:rPr>
              <w:t xml:space="preserve"> </w:t>
            </w:r>
            <w:r w:rsidR="00700228" w:rsidRPr="00700228">
              <w:rPr>
                <w:rFonts w:ascii="Arial" w:eastAsia="Times New Roman" w:hAnsi="Arial" w:cs="Arial"/>
                <w:b/>
                <w:bCs/>
                <w:sz w:val="18"/>
                <w:szCs w:val="18"/>
              </w:rPr>
              <w:t>(Source: SLID 2009 PUMF)</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auto" w:fill="auto"/>
            <w:noWrap/>
            <w:vAlign w:val="bottom"/>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 </w:t>
            </w:r>
          </w:p>
        </w:tc>
        <w:tc>
          <w:tcPr>
            <w:tcW w:w="98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Market income</w:t>
            </w:r>
          </w:p>
        </w:tc>
        <w:tc>
          <w:tcPr>
            <w:tcW w:w="127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Government transfers (federal &amp; provincial)</w:t>
            </w:r>
          </w:p>
        </w:tc>
        <w:tc>
          <w:tcPr>
            <w:tcW w:w="988"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Total income before taxes</w:t>
            </w:r>
          </w:p>
        </w:tc>
        <w:tc>
          <w:tcPr>
            <w:tcW w:w="1127" w:type="dxa"/>
            <w:tcBorders>
              <w:top w:val="nil"/>
              <w:left w:val="nil"/>
              <w:bottom w:val="single" w:sz="12" w:space="0" w:color="000000"/>
              <w:right w:val="single" w:sz="4" w:space="0" w:color="000000"/>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Income tax (federal plus provincial)</w:t>
            </w:r>
          </w:p>
        </w:tc>
        <w:tc>
          <w:tcPr>
            <w:tcW w:w="1100" w:type="dxa"/>
            <w:tcBorders>
              <w:top w:val="nil"/>
              <w:left w:val="nil"/>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After-tax income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Tax rate</w:t>
            </w:r>
          </w:p>
        </w:tc>
        <w:tc>
          <w:tcPr>
            <w:tcW w:w="960" w:type="dxa"/>
            <w:tcBorders>
              <w:top w:val="nil"/>
              <w:left w:val="single" w:sz="4" w:space="0" w:color="000000"/>
              <w:bottom w:val="single" w:sz="12" w:space="0" w:color="000000"/>
              <w:right w:val="single" w:sz="4"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market income</w:t>
            </w:r>
          </w:p>
        </w:tc>
        <w:tc>
          <w:tcPr>
            <w:tcW w:w="960" w:type="dxa"/>
            <w:tcBorders>
              <w:top w:val="nil"/>
              <w:left w:val="single" w:sz="4" w:space="0" w:color="000000"/>
              <w:bottom w:val="single" w:sz="12" w:space="0" w:color="000000"/>
              <w:right w:val="single" w:sz="12" w:space="0" w:color="auto"/>
            </w:tcBorders>
            <w:shd w:val="clear" w:color="auto" w:fill="auto"/>
            <w:vAlign w:val="bottom"/>
            <w:hideMark/>
          </w:tcPr>
          <w:p w:rsidR="007150AD" w:rsidRPr="007150AD" w:rsidRDefault="007150AD" w:rsidP="007150AD">
            <w:pPr>
              <w:spacing w:after="0" w:line="240" w:lineRule="auto"/>
              <w:jc w:val="center"/>
              <w:rPr>
                <w:rFonts w:ascii="Arial" w:eastAsia="Times New Roman" w:hAnsi="Arial" w:cs="Arial"/>
                <w:b/>
                <w:color w:val="000000"/>
                <w:sz w:val="18"/>
                <w:szCs w:val="18"/>
              </w:rPr>
            </w:pPr>
            <w:r w:rsidRPr="007150AD">
              <w:rPr>
                <w:rFonts w:ascii="Arial" w:eastAsia="Times New Roman" w:hAnsi="Arial" w:cs="Arial"/>
                <w:b/>
                <w:color w:val="000000"/>
                <w:sz w:val="18"/>
                <w:szCs w:val="18"/>
              </w:rPr>
              <w:t>% Before-tax transfer income</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bottom"/>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Low income</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$2,455</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$6,930</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$9,385</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$327</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$9,057</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26.2%</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73.8%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$3,321</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$6,459</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$9,780</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$244</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$9,536</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34.0%</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66.0%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$4,890</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$4,215</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$9,105</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$8,775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53.7%</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46.3%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$3,369</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$4,931</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$8,300</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$165</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$8,134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40.6%</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59.4%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$5,423</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$5,709</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$11,132</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$375</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$10,757</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48.7%</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$5,886</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$4,918</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$10,804</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$454</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$10,350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54.5%</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$6,668</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$4,786</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$11,454</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$535</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$10,919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58.2%</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$4,506</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$5,518</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$10,024</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$281</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$9,743</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45.0%</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55.0%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$12,139</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$3,524</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$15,663</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$1,460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$14,203</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77.5%</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22.5%</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$7,501</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$3,589</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$11,090</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$681</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$10,409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67.6%</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$6,543</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$4,751</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$11,294</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$560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$10,734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57.9%</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42.1%</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Incomes at or above the LICO</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$30,297</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$4,871</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$35,168</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$5,306</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$29,862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86.1%</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13.9%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$29,447</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$3,940</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$33,386</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$4,877</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$28,510</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14.6%</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88.2%</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11.8%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$33,121</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$2,838</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$35,959</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$5,929</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$30,030</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92.1%</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$31,611</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$3,235</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$34,846</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$5,337</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$29,509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15.3%</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90.7%</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$33,554</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$3,318</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$36,872</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$6,081</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$30,791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91.0%</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$37,990</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$2,568</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$40,558</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$6,587</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$33,971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16.2%</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93.7%</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$37,288</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$2,208</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$39,495</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$6,800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$32,696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17.2%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94.4%</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$40,722</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$2,112</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$42,834</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$6,907</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$35,928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95.1%</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$47,073</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$2,019</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$49,091</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$8,273</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$40,819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95.9%</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$38,644</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$2,084</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$40,729</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$5,854</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$34,874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94.9%</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$37,656</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$2,660</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$40,316</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$6,500</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$33,817</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93.4%</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6.6%</w:t>
            </w:r>
          </w:p>
        </w:tc>
      </w:tr>
      <w:tr w:rsidR="007150AD" w:rsidRPr="007150AD" w:rsidTr="007150AD">
        <w:trPr>
          <w:trHeight w:val="20"/>
          <w:jc w:val="center"/>
        </w:trPr>
        <w:tc>
          <w:tcPr>
            <w:tcW w:w="10895" w:type="dxa"/>
            <w:gridSpan w:val="9"/>
            <w:tcBorders>
              <w:top w:val="single" w:sz="12" w:space="0" w:color="000000"/>
              <w:left w:val="single" w:sz="12" w:space="0" w:color="auto"/>
              <w:bottom w:val="single" w:sz="12" w:space="0" w:color="auto"/>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b/>
                <w:bCs/>
                <w:color w:val="000000"/>
                <w:sz w:val="18"/>
                <w:szCs w:val="18"/>
              </w:rPr>
            </w:pPr>
            <w:r w:rsidRPr="007150AD">
              <w:rPr>
                <w:rFonts w:ascii="Arial" w:eastAsia="Times New Roman" w:hAnsi="Arial" w:cs="Arial"/>
                <w:b/>
                <w:bCs/>
                <w:color w:val="000000"/>
                <w:sz w:val="18"/>
                <w:szCs w:val="18"/>
              </w:rPr>
              <w:t>All incomes</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Newfoundland and Labrador</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$28,450</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$5,007</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$33,458</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$4,976</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$28,482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14.9%</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85.0%</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15.0%</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Prince Edward Island</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$28,453</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$4,035</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$32,488</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$4,700</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$27,788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14.5%</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87.6%</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12.4%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Nova Scotia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$30,784</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$2,952</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$33,736</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$5,465</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$28,271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16.2%</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91.2%</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New Brunswick</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$29,402</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$3,367</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$32,769</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$4,932</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$27,837</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89.7%</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10.3%</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Quebec</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$30,764</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$3,555</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$34,319</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$5,515</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$28,804</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16.1%</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89.6%</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10.4%</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Ontario</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$34,501</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$2,823</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$37,324</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$5,920</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$31,404</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92.4%</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7.6%</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Manitoba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$34,166</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$2,471</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$36,636</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$6,161</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$30,475</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16.8%</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93.3%</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Saskatchewan</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$38,226</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$2,347</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$40,573</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$6,450</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$34,123</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15.9%</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94.2%</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Alberta</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$43,988</w:t>
            </w:r>
          </w:p>
        </w:tc>
        <w:tc>
          <w:tcPr>
            <w:tcW w:w="1277"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$2,152</w:t>
            </w:r>
          </w:p>
        </w:tc>
        <w:tc>
          <w:tcPr>
            <w:tcW w:w="988" w:type="dxa"/>
            <w:tcBorders>
              <w:top w:val="nil"/>
              <w:left w:val="nil"/>
              <w:bottom w:val="nil"/>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$46,139</w:t>
            </w:r>
          </w:p>
        </w:tc>
        <w:tc>
          <w:tcPr>
            <w:tcW w:w="1127" w:type="dxa"/>
            <w:tcBorders>
              <w:top w:val="nil"/>
              <w:left w:val="nil"/>
              <w:bottom w:val="nil"/>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$7,671</w:t>
            </w:r>
          </w:p>
        </w:tc>
        <w:tc>
          <w:tcPr>
            <w:tcW w:w="1100" w:type="dxa"/>
            <w:tcBorders>
              <w:top w:val="nil"/>
              <w:left w:val="nil"/>
              <w:bottom w:val="nil"/>
              <w:right w:val="single" w:sz="4" w:space="0" w:color="auto"/>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$38,468</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16.6%</w:t>
            </w:r>
          </w:p>
        </w:tc>
        <w:tc>
          <w:tcPr>
            <w:tcW w:w="960" w:type="dxa"/>
            <w:tcBorders>
              <w:top w:val="nil"/>
              <w:left w:val="nil"/>
              <w:bottom w:val="nil"/>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95.3%</w:t>
            </w:r>
          </w:p>
        </w:tc>
        <w:tc>
          <w:tcPr>
            <w:tcW w:w="960" w:type="dxa"/>
            <w:tcBorders>
              <w:top w:val="nil"/>
              <w:left w:val="nil"/>
              <w:bottom w:val="nil"/>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4.7%</w:t>
            </w:r>
          </w:p>
        </w:tc>
      </w:tr>
      <w:tr w:rsidR="007150AD" w:rsidRPr="007150AD" w:rsidTr="007150AD">
        <w:trPr>
          <w:trHeight w:val="20"/>
          <w:jc w:val="center"/>
        </w:trPr>
        <w:tc>
          <w:tcPr>
            <w:tcW w:w="2535" w:type="dxa"/>
            <w:tcBorders>
              <w:top w:val="nil"/>
              <w:left w:val="single" w:sz="12" w:space="0" w:color="auto"/>
              <w:bottom w:val="nil"/>
              <w:right w:val="single" w:sz="12" w:space="0" w:color="000000"/>
            </w:tcBorders>
            <w:shd w:val="clear" w:color="auto" w:fill="auto"/>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British Columbia</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$34,613</w:t>
            </w:r>
          </w:p>
        </w:tc>
        <w:tc>
          <w:tcPr>
            <w:tcW w:w="1277"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$2,279</w:t>
            </w:r>
          </w:p>
        </w:tc>
        <w:tc>
          <w:tcPr>
            <w:tcW w:w="988" w:type="dxa"/>
            <w:tcBorders>
              <w:top w:val="nil"/>
              <w:left w:val="nil"/>
              <w:bottom w:val="nil"/>
              <w:right w:val="single" w:sz="4" w:space="0" w:color="000000"/>
            </w:tcBorders>
            <w:shd w:val="clear" w:color="auto" w:fill="auto"/>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$36,893</w:t>
            </w:r>
          </w:p>
        </w:tc>
        <w:tc>
          <w:tcPr>
            <w:tcW w:w="1127" w:type="dxa"/>
            <w:tcBorders>
              <w:top w:val="nil"/>
              <w:left w:val="nil"/>
              <w:bottom w:val="nil"/>
              <w:right w:val="single" w:sz="4" w:space="0" w:color="000000"/>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$5,185</w:t>
            </w:r>
          </w:p>
        </w:tc>
        <w:tc>
          <w:tcPr>
            <w:tcW w:w="1100" w:type="dxa"/>
            <w:tcBorders>
              <w:top w:val="nil"/>
              <w:left w:val="nil"/>
              <w:bottom w:val="nil"/>
              <w:right w:val="single" w:sz="4" w:space="0" w:color="auto"/>
            </w:tcBorders>
            <w:shd w:val="clear" w:color="auto" w:fill="auto"/>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$31,708</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14.1%</w:t>
            </w:r>
          </w:p>
        </w:tc>
        <w:tc>
          <w:tcPr>
            <w:tcW w:w="960" w:type="dxa"/>
            <w:tcBorders>
              <w:top w:val="nil"/>
              <w:left w:val="nil"/>
              <w:bottom w:val="nil"/>
              <w:right w:val="single" w:sz="4"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93.8%</w:t>
            </w:r>
          </w:p>
        </w:tc>
        <w:tc>
          <w:tcPr>
            <w:tcW w:w="960" w:type="dxa"/>
            <w:tcBorders>
              <w:top w:val="nil"/>
              <w:left w:val="nil"/>
              <w:bottom w:val="nil"/>
              <w:right w:val="single" w:sz="12" w:space="0" w:color="auto"/>
            </w:tcBorders>
            <w:shd w:val="clear" w:color="auto" w:fill="auto"/>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6.2%</w:t>
            </w:r>
          </w:p>
        </w:tc>
      </w:tr>
      <w:tr w:rsidR="007150AD" w:rsidRPr="007150AD" w:rsidTr="007150AD">
        <w:trPr>
          <w:trHeight w:val="20"/>
          <w:jc w:val="center"/>
        </w:trPr>
        <w:tc>
          <w:tcPr>
            <w:tcW w:w="2535" w:type="dxa"/>
            <w:tcBorders>
              <w:top w:val="nil"/>
              <w:left w:val="single" w:sz="12" w:space="0" w:color="auto"/>
              <w:bottom w:val="single" w:sz="12" w:space="0" w:color="000000"/>
              <w:right w:val="single" w:sz="12" w:space="0" w:color="000000"/>
            </w:tcBorders>
            <w:shd w:val="clear" w:color="000000" w:fill="B8CCE4"/>
            <w:vAlign w:val="center"/>
            <w:hideMark/>
          </w:tcPr>
          <w:p w:rsidR="007150AD" w:rsidRPr="007150AD" w:rsidRDefault="007150AD" w:rsidP="007150AD">
            <w:pPr>
              <w:spacing w:after="0" w:line="240" w:lineRule="auto"/>
              <w:rPr>
                <w:rFonts w:ascii="Arial" w:eastAsia="Times New Roman" w:hAnsi="Arial" w:cs="Arial"/>
                <w:color w:val="000000"/>
                <w:sz w:val="18"/>
                <w:szCs w:val="18"/>
              </w:rPr>
            </w:pPr>
            <w:r w:rsidRPr="007150AD">
              <w:rPr>
                <w:rFonts w:ascii="Arial" w:eastAsia="Times New Roman" w:hAnsi="Arial" w:cs="Arial"/>
                <w:color w:val="000000"/>
                <w:sz w:val="18"/>
                <w:szCs w:val="18"/>
              </w:rPr>
              <w:t>Canada (excl. territories)</w:t>
            </w:r>
          </w:p>
        </w:tc>
        <w:tc>
          <w:tcPr>
            <w:tcW w:w="988"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$34,441</w:t>
            </w:r>
          </w:p>
        </w:tc>
        <w:tc>
          <w:tcPr>
            <w:tcW w:w="1277"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$2,876</w:t>
            </w:r>
          </w:p>
        </w:tc>
        <w:tc>
          <w:tcPr>
            <w:tcW w:w="988" w:type="dxa"/>
            <w:tcBorders>
              <w:top w:val="nil"/>
              <w:left w:val="nil"/>
              <w:bottom w:val="single" w:sz="12" w:space="0" w:color="000000"/>
              <w:right w:val="single" w:sz="4" w:space="0" w:color="000000"/>
            </w:tcBorders>
            <w:shd w:val="clear" w:color="000000" w:fill="B8CCE4"/>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$37,317</w:t>
            </w:r>
          </w:p>
        </w:tc>
        <w:tc>
          <w:tcPr>
            <w:tcW w:w="1127" w:type="dxa"/>
            <w:tcBorders>
              <w:top w:val="nil"/>
              <w:left w:val="nil"/>
              <w:bottom w:val="single" w:sz="12" w:space="0" w:color="000000"/>
              <w:right w:val="single" w:sz="4" w:space="0" w:color="000000"/>
            </w:tcBorders>
            <w:shd w:val="clear" w:color="000000" w:fill="B8CCE4"/>
            <w:noWrap/>
            <w:vAlign w:val="center"/>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$5,886</w:t>
            </w:r>
          </w:p>
        </w:tc>
        <w:tc>
          <w:tcPr>
            <w:tcW w:w="1100" w:type="dxa"/>
            <w:tcBorders>
              <w:top w:val="nil"/>
              <w:left w:val="nil"/>
              <w:bottom w:val="single" w:sz="12" w:space="0" w:color="000000"/>
              <w:right w:val="single" w:sz="4" w:space="0" w:color="auto"/>
            </w:tcBorders>
            <w:shd w:val="clear" w:color="000000" w:fill="B8CCE4"/>
            <w:noWrap/>
            <w:vAlign w:val="center"/>
          </w:tcPr>
          <w:p w:rsidR="007150AD" w:rsidRPr="007150AD" w:rsidRDefault="007150AD" w:rsidP="00AE3CA8">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$31,431</w:t>
            </w:r>
          </w:p>
        </w:tc>
        <w:tc>
          <w:tcPr>
            <w:tcW w:w="960" w:type="dxa"/>
            <w:tcBorders>
              <w:top w:val="nil"/>
              <w:left w:val="nil"/>
              <w:bottom w:val="single" w:sz="12" w:space="0" w:color="000000"/>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15.8%</w:t>
            </w:r>
          </w:p>
        </w:tc>
        <w:tc>
          <w:tcPr>
            <w:tcW w:w="960" w:type="dxa"/>
            <w:tcBorders>
              <w:top w:val="nil"/>
              <w:left w:val="nil"/>
              <w:bottom w:val="single" w:sz="12" w:space="0" w:color="000000"/>
              <w:right w:val="single" w:sz="4"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92.3%</w:t>
            </w:r>
          </w:p>
        </w:tc>
        <w:tc>
          <w:tcPr>
            <w:tcW w:w="960" w:type="dxa"/>
            <w:tcBorders>
              <w:top w:val="nil"/>
              <w:left w:val="nil"/>
              <w:bottom w:val="single" w:sz="12" w:space="0" w:color="000000"/>
              <w:right w:val="single" w:sz="12" w:space="0" w:color="auto"/>
            </w:tcBorders>
            <w:shd w:val="clear" w:color="000000" w:fill="B8CCE4"/>
            <w:noWrap/>
            <w:vAlign w:val="bottom"/>
          </w:tcPr>
          <w:p w:rsidR="007150AD" w:rsidRPr="007150AD" w:rsidRDefault="007150AD" w:rsidP="007150AD">
            <w:pPr>
              <w:spacing w:after="0" w:line="240" w:lineRule="auto"/>
              <w:jc w:val="right"/>
              <w:rPr>
                <w:rFonts w:ascii="Arial" w:eastAsia="Times New Roman" w:hAnsi="Arial" w:cs="Arial"/>
                <w:color w:val="000000"/>
                <w:sz w:val="18"/>
                <w:szCs w:val="18"/>
              </w:rPr>
            </w:pPr>
            <w:r w:rsidRPr="007150AD">
              <w:rPr>
                <w:rFonts w:ascii="Arial" w:eastAsia="Times New Roman" w:hAnsi="Arial" w:cs="Arial"/>
                <w:color w:val="000000"/>
                <w:sz w:val="18"/>
                <w:szCs w:val="18"/>
              </w:rPr>
              <w:t>7.7%</w:t>
            </w:r>
          </w:p>
        </w:tc>
      </w:tr>
    </w:tbl>
    <w:p w:rsidR="00700228" w:rsidRDefault="00700228" w:rsidP="002B6133">
      <w:pPr>
        <w:pStyle w:val="Heading1"/>
      </w:pPr>
    </w:p>
    <w:p w:rsidR="00DE1809" w:rsidRDefault="00DE1809" w:rsidP="002B6133">
      <w:pPr>
        <w:pStyle w:val="Heading1"/>
      </w:pPr>
      <w:r>
        <w:br w:type="page"/>
      </w:r>
    </w:p>
    <w:tbl>
      <w:tblPr>
        <w:tblW w:w="8240" w:type="dxa"/>
        <w:jc w:val="center"/>
        <w:tblLook w:val="04A0" w:firstRow="1" w:lastRow="0" w:firstColumn="1" w:lastColumn="0" w:noHBand="0" w:noVBand="1"/>
      </w:tblPr>
      <w:tblGrid>
        <w:gridCol w:w="3420"/>
        <w:gridCol w:w="1180"/>
        <w:gridCol w:w="1260"/>
        <w:gridCol w:w="1160"/>
        <w:gridCol w:w="1220"/>
      </w:tblGrid>
      <w:tr w:rsidR="00B850FB" w:rsidRPr="00CD289A" w:rsidTr="003F6133">
        <w:trPr>
          <w:trHeight w:val="20"/>
          <w:jc w:val="center"/>
        </w:trPr>
        <w:tc>
          <w:tcPr>
            <w:tcW w:w="824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850FB" w:rsidRPr="00CD289A" w:rsidRDefault="00B850FB" w:rsidP="00B850FB">
            <w:pPr>
              <w:spacing w:after="0" w:line="240" w:lineRule="auto"/>
              <w:rPr>
                <w:rFonts w:ascii="Calibri" w:eastAsia="Times New Roman" w:hAnsi="Calibri"/>
                <w:b/>
                <w:bCs/>
                <w:color w:val="000000"/>
                <w:sz w:val="22"/>
                <w:szCs w:val="22"/>
              </w:rPr>
            </w:pPr>
            <w:r>
              <w:rPr>
                <w:rFonts w:ascii="Calibri" w:eastAsia="Times New Roman" w:hAnsi="Calibri"/>
                <w:b/>
                <w:bCs/>
                <w:color w:val="000000"/>
                <w:sz w:val="22"/>
                <w:szCs w:val="22"/>
              </w:rPr>
              <w:t xml:space="preserve">Appendix </w:t>
            </w:r>
            <w:r w:rsidRPr="00CD289A">
              <w:rPr>
                <w:rFonts w:ascii="Calibri" w:eastAsia="Times New Roman" w:hAnsi="Calibri"/>
                <w:b/>
                <w:bCs/>
                <w:color w:val="000000"/>
                <w:sz w:val="22"/>
                <w:szCs w:val="22"/>
              </w:rPr>
              <w:t xml:space="preserve">Table </w:t>
            </w:r>
            <w:r>
              <w:rPr>
                <w:rFonts w:ascii="Calibri" w:eastAsia="Times New Roman" w:hAnsi="Calibri"/>
                <w:b/>
                <w:bCs/>
                <w:color w:val="000000"/>
                <w:sz w:val="22"/>
                <w:szCs w:val="22"/>
              </w:rPr>
              <w:t>5</w:t>
            </w:r>
            <w:r w:rsidRPr="00CD289A">
              <w:rPr>
                <w:rFonts w:ascii="Calibri" w:eastAsia="Times New Roman" w:hAnsi="Calibri"/>
                <w:b/>
                <w:bCs/>
                <w:color w:val="000000"/>
                <w:sz w:val="22"/>
                <w:szCs w:val="22"/>
              </w:rPr>
              <w:t xml:space="preserve">. Average RRSP withdrawals </w:t>
            </w:r>
            <w:r>
              <w:rPr>
                <w:rFonts w:ascii="Calibri" w:eastAsia="Times New Roman" w:hAnsi="Calibri"/>
                <w:b/>
                <w:bCs/>
                <w:color w:val="000000"/>
                <w:sz w:val="22"/>
                <w:szCs w:val="22"/>
              </w:rPr>
              <w:t>by</w:t>
            </w:r>
            <w:r w:rsidRPr="00CD289A">
              <w:rPr>
                <w:rFonts w:ascii="Calibri" w:eastAsia="Times New Roman" w:hAnsi="Calibri"/>
                <w:b/>
                <w:bCs/>
                <w:color w:val="000000"/>
                <w:sz w:val="22"/>
                <w:szCs w:val="22"/>
              </w:rPr>
              <w:t xml:space="preserve"> persons 16 to 64 years in 2009, by disability, low income status and province</w:t>
            </w:r>
          </w:p>
        </w:tc>
      </w:tr>
      <w:tr w:rsidR="00B850FB" w:rsidRPr="00CD289A" w:rsidTr="003F6133">
        <w:trPr>
          <w:trHeight w:val="20"/>
          <w:jc w:val="center"/>
        </w:trPr>
        <w:tc>
          <w:tcPr>
            <w:tcW w:w="3420" w:type="dxa"/>
            <w:tcBorders>
              <w:top w:val="nil"/>
              <w:left w:val="single" w:sz="8" w:space="0" w:color="auto"/>
              <w:bottom w:val="nil"/>
              <w:right w:val="nil"/>
            </w:tcBorders>
            <w:shd w:val="clear" w:color="auto" w:fill="auto"/>
            <w:noWrap/>
            <w:vAlign w:val="center"/>
            <w:hideMark/>
          </w:tcPr>
          <w:p w:rsidR="00B850FB" w:rsidRPr="00CD289A" w:rsidRDefault="00B850FB" w:rsidP="003F6133">
            <w:pPr>
              <w:spacing w:after="0" w:line="240" w:lineRule="auto"/>
              <w:rPr>
                <w:rFonts w:ascii="Calibri" w:eastAsia="Times New Roman" w:hAnsi="Calibri"/>
                <w:color w:val="000000"/>
                <w:sz w:val="22"/>
                <w:szCs w:val="22"/>
              </w:rPr>
            </w:pPr>
            <w:r w:rsidRPr="00CD289A">
              <w:rPr>
                <w:rFonts w:ascii="Calibri" w:eastAsia="Times New Roman" w:hAnsi="Calibri"/>
                <w:color w:val="000000"/>
                <w:sz w:val="22"/>
                <w:szCs w:val="22"/>
              </w:rPr>
              <w:t> </w:t>
            </w:r>
          </w:p>
        </w:tc>
        <w:tc>
          <w:tcPr>
            <w:tcW w:w="24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With disabilities</w:t>
            </w:r>
          </w:p>
        </w:tc>
        <w:tc>
          <w:tcPr>
            <w:tcW w:w="23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Without disabilities</w:t>
            </w:r>
          </w:p>
        </w:tc>
      </w:tr>
      <w:tr w:rsidR="00B850FB" w:rsidRPr="00CD289A" w:rsidTr="003F6133">
        <w:trPr>
          <w:trHeight w:val="20"/>
          <w:jc w:val="center"/>
        </w:trPr>
        <w:tc>
          <w:tcPr>
            <w:tcW w:w="3420" w:type="dxa"/>
            <w:tcBorders>
              <w:top w:val="nil"/>
              <w:left w:val="single" w:sz="8" w:space="0" w:color="auto"/>
              <w:bottom w:val="nil"/>
              <w:right w:val="nil"/>
            </w:tcBorders>
            <w:shd w:val="clear" w:color="auto" w:fill="auto"/>
            <w:noWrap/>
            <w:vAlign w:val="center"/>
            <w:hideMark/>
          </w:tcPr>
          <w:p w:rsidR="00B850FB" w:rsidRPr="00CD289A" w:rsidRDefault="00B850FB" w:rsidP="003F6133">
            <w:pPr>
              <w:spacing w:after="0" w:line="240" w:lineRule="auto"/>
              <w:rPr>
                <w:rFonts w:ascii="Calibri" w:eastAsia="Times New Roman" w:hAnsi="Calibri"/>
                <w:color w:val="000000"/>
                <w:sz w:val="22"/>
                <w:szCs w:val="22"/>
              </w:rPr>
            </w:pPr>
            <w:r w:rsidRPr="00CD289A">
              <w:rPr>
                <w:rFonts w:ascii="Calibri" w:eastAsia="Times New Roman" w:hAnsi="Calibri"/>
                <w:color w:val="000000"/>
                <w:sz w:val="22"/>
                <w:szCs w:val="22"/>
              </w:rPr>
              <w:t> </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Low income</w:t>
            </w:r>
          </w:p>
        </w:tc>
        <w:tc>
          <w:tcPr>
            <w:tcW w:w="1260" w:type="dxa"/>
            <w:tcBorders>
              <w:top w:val="nil"/>
              <w:left w:val="nil"/>
              <w:bottom w:val="single" w:sz="8" w:space="0" w:color="auto"/>
              <w:right w:val="single" w:sz="8" w:space="0" w:color="auto"/>
            </w:tcBorders>
            <w:shd w:val="clear" w:color="auto" w:fill="auto"/>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Not low income</w:t>
            </w:r>
          </w:p>
        </w:tc>
        <w:tc>
          <w:tcPr>
            <w:tcW w:w="1160" w:type="dxa"/>
            <w:tcBorders>
              <w:top w:val="nil"/>
              <w:left w:val="nil"/>
              <w:bottom w:val="single" w:sz="8" w:space="0" w:color="auto"/>
              <w:right w:val="single" w:sz="8" w:space="0" w:color="auto"/>
            </w:tcBorders>
            <w:shd w:val="clear" w:color="auto" w:fill="auto"/>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Low income</w:t>
            </w:r>
          </w:p>
        </w:tc>
        <w:tc>
          <w:tcPr>
            <w:tcW w:w="1220" w:type="dxa"/>
            <w:tcBorders>
              <w:top w:val="nil"/>
              <w:left w:val="nil"/>
              <w:bottom w:val="single" w:sz="8" w:space="0" w:color="auto"/>
              <w:right w:val="single" w:sz="8" w:space="0" w:color="auto"/>
            </w:tcBorders>
            <w:shd w:val="clear" w:color="auto" w:fill="auto"/>
            <w:vAlign w:val="center"/>
            <w:hideMark/>
          </w:tcPr>
          <w:p w:rsidR="00B850FB" w:rsidRPr="00CD289A" w:rsidRDefault="00B850FB" w:rsidP="003F6133">
            <w:pPr>
              <w:spacing w:after="0" w:line="240" w:lineRule="auto"/>
              <w:jc w:val="center"/>
              <w:rPr>
                <w:rFonts w:ascii="Calibri" w:eastAsia="Times New Roman" w:hAnsi="Calibri"/>
                <w:b/>
                <w:color w:val="000000"/>
                <w:sz w:val="22"/>
                <w:szCs w:val="22"/>
              </w:rPr>
            </w:pPr>
            <w:r w:rsidRPr="00CD289A">
              <w:rPr>
                <w:rFonts w:ascii="Calibri" w:eastAsia="Times New Roman" w:hAnsi="Calibri"/>
                <w:b/>
                <w:color w:val="000000"/>
                <w:sz w:val="22"/>
                <w:szCs w:val="22"/>
              </w:rPr>
              <w:t>Not low income</w:t>
            </w:r>
          </w:p>
        </w:tc>
      </w:tr>
      <w:tr w:rsidR="00B850FB" w:rsidRPr="00A32DF2" w:rsidTr="003F6133">
        <w:trPr>
          <w:trHeight w:val="20"/>
          <w:jc w:val="center"/>
        </w:trPr>
        <w:tc>
          <w:tcPr>
            <w:tcW w:w="3420" w:type="dxa"/>
            <w:tcBorders>
              <w:top w:val="single" w:sz="12" w:space="0" w:color="000000"/>
              <w:left w:val="single" w:sz="8" w:space="0" w:color="auto"/>
              <w:bottom w:val="nil"/>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Newfoundland and Labrador</w:t>
            </w:r>
          </w:p>
        </w:tc>
        <w:tc>
          <w:tcPr>
            <w:tcW w:w="1180" w:type="dxa"/>
            <w:tcBorders>
              <w:top w:val="nil"/>
              <w:left w:val="single" w:sz="8" w:space="0" w:color="auto"/>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$1,929</w:t>
            </w:r>
          </w:p>
        </w:tc>
        <w:tc>
          <w:tcPr>
            <w:tcW w:w="12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$234</w:t>
            </w:r>
          </w:p>
        </w:tc>
        <w:tc>
          <w:tcPr>
            <w:tcW w:w="11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$270</w:t>
            </w:r>
          </w:p>
        </w:tc>
        <w:tc>
          <w:tcPr>
            <w:tcW w:w="122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$298</w:t>
            </w:r>
          </w:p>
        </w:tc>
      </w:tr>
      <w:tr w:rsidR="00B850FB" w:rsidRPr="00A32DF2" w:rsidTr="003F6133">
        <w:trPr>
          <w:trHeight w:val="20"/>
          <w:jc w:val="center"/>
        </w:trPr>
        <w:tc>
          <w:tcPr>
            <w:tcW w:w="3420" w:type="dxa"/>
            <w:tcBorders>
              <w:top w:val="nil"/>
              <w:left w:val="single" w:sz="8" w:space="0" w:color="auto"/>
              <w:bottom w:val="nil"/>
              <w:right w:val="nil"/>
            </w:tcBorders>
            <w:shd w:val="clear" w:color="auto" w:fill="auto"/>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Prince Edward Island*</w:t>
            </w:r>
          </w:p>
        </w:tc>
        <w:tc>
          <w:tcPr>
            <w:tcW w:w="1180" w:type="dxa"/>
            <w:tcBorders>
              <w:top w:val="nil"/>
              <w:left w:val="single" w:sz="8" w:space="0" w:color="auto"/>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F</w:t>
            </w:r>
          </w:p>
        </w:tc>
        <w:tc>
          <w:tcPr>
            <w:tcW w:w="12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F</w:t>
            </w:r>
          </w:p>
        </w:tc>
        <w:tc>
          <w:tcPr>
            <w:tcW w:w="11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F</w:t>
            </w:r>
          </w:p>
        </w:tc>
        <w:tc>
          <w:tcPr>
            <w:tcW w:w="122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$190</w:t>
            </w:r>
          </w:p>
        </w:tc>
      </w:tr>
      <w:tr w:rsidR="00B850FB" w:rsidRPr="00A32DF2" w:rsidTr="003F6133">
        <w:trPr>
          <w:trHeight w:val="20"/>
          <w:jc w:val="center"/>
        </w:trPr>
        <w:tc>
          <w:tcPr>
            <w:tcW w:w="3420" w:type="dxa"/>
            <w:tcBorders>
              <w:top w:val="nil"/>
              <w:left w:val="single" w:sz="8" w:space="0" w:color="auto"/>
              <w:bottom w:val="nil"/>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Nova Scotia</w:t>
            </w:r>
          </w:p>
        </w:tc>
        <w:tc>
          <w:tcPr>
            <w:tcW w:w="1180" w:type="dxa"/>
            <w:tcBorders>
              <w:top w:val="nil"/>
              <w:left w:val="single" w:sz="8" w:space="0" w:color="auto"/>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$428</w:t>
            </w:r>
          </w:p>
        </w:tc>
        <w:tc>
          <w:tcPr>
            <w:tcW w:w="12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$364</w:t>
            </w:r>
          </w:p>
        </w:tc>
        <w:tc>
          <w:tcPr>
            <w:tcW w:w="11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$463</w:t>
            </w:r>
          </w:p>
        </w:tc>
        <w:tc>
          <w:tcPr>
            <w:tcW w:w="122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$274</w:t>
            </w:r>
          </w:p>
        </w:tc>
      </w:tr>
      <w:tr w:rsidR="00B850FB" w:rsidRPr="00A32DF2" w:rsidTr="003F6133">
        <w:trPr>
          <w:trHeight w:val="20"/>
          <w:jc w:val="center"/>
        </w:trPr>
        <w:tc>
          <w:tcPr>
            <w:tcW w:w="3420" w:type="dxa"/>
            <w:tcBorders>
              <w:top w:val="nil"/>
              <w:left w:val="single" w:sz="8" w:space="0" w:color="auto"/>
              <w:bottom w:val="nil"/>
              <w:right w:val="nil"/>
            </w:tcBorders>
            <w:shd w:val="clear" w:color="auto" w:fill="auto"/>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New Brunswick</w:t>
            </w:r>
          </w:p>
        </w:tc>
        <w:tc>
          <w:tcPr>
            <w:tcW w:w="1180" w:type="dxa"/>
            <w:tcBorders>
              <w:top w:val="nil"/>
              <w:left w:val="single" w:sz="8" w:space="0" w:color="auto"/>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$72</w:t>
            </w:r>
          </w:p>
        </w:tc>
        <w:tc>
          <w:tcPr>
            <w:tcW w:w="12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$330</w:t>
            </w:r>
          </w:p>
        </w:tc>
        <w:tc>
          <w:tcPr>
            <w:tcW w:w="11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$196</w:t>
            </w:r>
          </w:p>
        </w:tc>
        <w:tc>
          <w:tcPr>
            <w:tcW w:w="122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$184</w:t>
            </w:r>
          </w:p>
        </w:tc>
      </w:tr>
      <w:tr w:rsidR="00B850FB" w:rsidRPr="00A32DF2" w:rsidTr="003F6133">
        <w:trPr>
          <w:trHeight w:val="20"/>
          <w:jc w:val="center"/>
        </w:trPr>
        <w:tc>
          <w:tcPr>
            <w:tcW w:w="3420" w:type="dxa"/>
            <w:tcBorders>
              <w:top w:val="nil"/>
              <w:left w:val="single" w:sz="8" w:space="0" w:color="auto"/>
              <w:bottom w:val="nil"/>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Quebec</w:t>
            </w:r>
          </w:p>
        </w:tc>
        <w:tc>
          <w:tcPr>
            <w:tcW w:w="1180" w:type="dxa"/>
            <w:tcBorders>
              <w:top w:val="nil"/>
              <w:left w:val="single" w:sz="8" w:space="0" w:color="auto"/>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$167</w:t>
            </w:r>
          </w:p>
        </w:tc>
        <w:tc>
          <w:tcPr>
            <w:tcW w:w="12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$358</w:t>
            </w:r>
          </w:p>
        </w:tc>
        <w:tc>
          <w:tcPr>
            <w:tcW w:w="11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$324</w:t>
            </w:r>
          </w:p>
        </w:tc>
        <w:tc>
          <w:tcPr>
            <w:tcW w:w="122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$286</w:t>
            </w:r>
          </w:p>
        </w:tc>
      </w:tr>
      <w:tr w:rsidR="00B850FB" w:rsidRPr="00A32DF2" w:rsidTr="003F6133">
        <w:trPr>
          <w:trHeight w:val="20"/>
          <w:jc w:val="center"/>
        </w:trPr>
        <w:tc>
          <w:tcPr>
            <w:tcW w:w="3420" w:type="dxa"/>
            <w:tcBorders>
              <w:top w:val="nil"/>
              <w:left w:val="single" w:sz="8" w:space="0" w:color="auto"/>
              <w:bottom w:val="nil"/>
              <w:right w:val="nil"/>
            </w:tcBorders>
            <w:shd w:val="clear" w:color="auto" w:fill="auto"/>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Ontario</w:t>
            </w:r>
          </w:p>
        </w:tc>
        <w:tc>
          <w:tcPr>
            <w:tcW w:w="1180" w:type="dxa"/>
            <w:tcBorders>
              <w:top w:val="nil"/>
              <w:left w:val="single" w:sz="8" w:space="0" w:color="auto"/>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$325</w:t>
            </w:r>
          </w:p>
        </w:tc>
        <w:tc>
          <w:tcPr>
            <w:tcW w:w="12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$584</w:t>
            </w:r>
          </w:p>
        </w:tc>
        <w:tc>
          <w:tcPr>
            <w:tcW w:w="11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$596</w:t>
            </w:r>
          </w:p>
        </w:tc>
        <w:tc>
          <w:tcPr>
            <w:tcW w:w="122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$349</w:t>
            </w:r>
          </w:p>
        </w:tc>
      </w:tr>
      <w:tr w:rsidR="00B850FB" w:rsidRPr="00A32DF2" w:rsidTr="003F6133">
        <w:trPr>
          <w:trHeight w:val="20"/>
          <w:jc w:val="center"/>
        </w:trPr>
        <w:tc>
          <w:tcPr>
            <w:tcW w:w="3420" w:type="dxa"/>
            <w:tcBorders>
              <w:top w:val="nil"/>
              <w:left w:val="single" w:sz="8" w:space="0" w:color="auto"/>
              <w:bottom w:val="nil"/>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Manitoba</w:t>
            </w:r>
          </w:p>
        </w:tc>
        <w:tc>
          <w:tcPr>
            <w:tcW w:w="1180" w:type="dxa"/>
            <w:tcBorders>
              <w:top w:val="nil"/>
              <w:left w:val="single" w:sz="8" w:space="0" w:color="auto"/>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$572</w:t>
            </w:r>
          </w:p>
        </w:tc>
        <w:tc>
          <w:tcPr>
            <w:tcW w:w="12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$290</w:t>
            </w:r>
          </w:p>
        </w:tc>
        <w:tc>
          <w:tcPr>
            <w:tcW w:w="11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$186</w:t>
            </w:r>
          </w:p>
        </w:tc>
        <w:tc>
          <w:tcPr>
            <w:tcW w:w="122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$210</w:t>
            </w:r>
          </w:p>
        </w:tc>
      </w:tr>
      <w:tr w:rsidR="00B850FB" w:rsidRPr="00A32DF2" w:rsidTr="003F6133">
        <w:trPr>
          <w:trHeight w:val="20"/>
          <w:jc w:val="center"/>
        </w:trPr>
        <w:tc>
          <w:tcPr>
            <w:tcW w:w="3420" w:type="dxa"/>
            <w:tcBorders>
              <w:top w:val="nil"/>
              <w:left w:val="single" w:sz="8" w:space="0" w:color="auto"/>
              <w:bottom w:val="nil"/>
              <w:right w:val="nil"/>
            </w:tcBorders>
            <w:shd w:val="clear" w:color="auto" w:fill="auto"/>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Saskatchewan</w:t>
            </w:r>
          </w:p>
        </w:tc>
        <w:tc>
          <w:tcPr>
            <w:tcW w:w="1180" w:type="dxa"/>
            <w:tcBorders>
              <w:top w:val="nil"/>
              <w:left w:val="single" w:sz="8" w:space="0" w:color="auto"/>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w:t>
            </w:r>
          </w:p>
        </w:tc>
        <w:tc>
          <w:tcPr>
            <w:tcW w:w="12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$344</w:t>
            </w:r>
          </w:p>
        </w:tc>
        <w:tc>
          <w:tcPr>
            <w:tcW w:w="11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$374</w:t>
            </w:r>
          </w:p>
        </w:tc>
        <w:tc>
          <w:tcPr>
            <w:tcW w:w="122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$237</w:t>
            </w:r>
          </w:p>
        </w:tc>
      </w:tr>
      <w:tr w:rsidR="00B850FB" w:rsidRPr="00A32DF2" w:rsidTr="003F6133">
        <w:trPr>
          <w:trHeight w:val="20"/>
          <w:jc w:val="center"/>
        </w:trPr>
        <w:tc>
          <w:tcPr>
            <w:tcW w:w="3420" w:type="dxa"/>
            <w:tcBorders>
              <w:top w:val="nil"/>
              <w:left w:val="single" w:sz="8" w:space="0" w:color="auto"/>
              <w:bottom w:val="nil"/>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Alberta</w:t>
            </w:r>
          </w:p>
        </w:tc>
        <w:tc>
          <w:tcPr>
            <w:tcW w:w="1180" w:type="dxa"/>
            <w:tcBorders>
              <w:top w:val="nil"/>
              <w:left w:val="single" w:sz="8" w:space="0" w:color="auto"/>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$506</w:t>
            </w:r>
          </w:p>
        </w:tc>
        <w:tc>
          <w:tcPr>
            <w:tcW w:w="12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$272</w:t>
            </w:r>
          </w:p>
        </w:tc>
        <w:tc>
          <w:tcPr>
            <w:tcW w:w="116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$829</w:t>
            </w:r>
          </w:p>
        </w:tc>
        <w:tc>
          <w:tcPr>
            <w:tcW w:w="1220" w:type="dxa"/>
            <w:tcBorders>
              <w:top w:val="nil"/>
              <w:left w:val="nil"/>
              <w:bottom w:val="nil"/>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$380</w:t>
            </w:r>
          </w:p>
        </w:tc>
      </w:tr>
      <w:tr w:rsidR="00B850FB" w:rsidRPr="00A32DF2" w:rsidTr="003F6133">
        <w:trPr>
          <w:trHeight w:val="20"/>
          <w:jc w:val="center"/>
        </w:trPr>
        <w:tc>
          <w:tcPr>
            <w:tcW w:w="3420" w:type="dxa"/>
            <w:tcBorders>
              <w:top w:val="nil"/>
              <w:left w:val="single" w:sz="8" w:space="0" w:color="auto"/>
              <w:bottom w:val="nil"/>
              <w:right w:val="nil"/>
            </w:tcBorders>
            <w:shd w:val="clear" w:color="auto" w:fill="auto"/>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British Columbia</w:t>
            </w:r>
          </w:p>
        </w:tc>
        <w:tc>
          <w:tcPr>
            <w:tcW w:w="1180" w:type="dxa"/>
            <w:tcBorders>
              <w:top w:val="nil"/>
              <w:left w:val="single" w:sz="8" w:space="0" w:color="auto"/>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$627</w:t>
            </w:r>
          </w:p>
        </w:tc>
        <w:tc>
          <w:tcPr>
            <w:tcW w:w="12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$544</w:t>
            </w:r>
          </w:p>
        </w:tc>
        <w:tc>
          <w:tcPr>
            <w:tcW w:w="116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$310</w:t>
            </w:r>
          </w:p>
        </w:tc>
        <w:tc>
          <w:tcPr>
            <w:tcW w:w="1220" w:type="dxa"/>
            <w:tcBorders>
              <w:top w:val="nil"/>
              <w:left w:val="nil"/>
              <w:bottom w:val="nil"/>
              <w:right w:val="single" w:sz="8" w:space="0" w:color="auto"/>
            </w:tcBorders>
            <w:shd w:val="clear" w:color="auto" w:fill="auto"/>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$359</w:t>
            </w:r>
          </w:p>
        </w:tc>
      </w:tr>
      <w:tr w:rsidR="00B850FB" w:rsidRPr="00A32DF2" w:rsidTr="003F6133">
        <w:trPr>
          <w:trHeight w:val="20"/>
          <w:jc w:val="center"/>
        </w:trPr>
        <w:tc>
          <w:tcPr>
            <w:tcW w:w="3420" w:type="dxa"/>
            <w:tcBorders>
              <w:top w:val="nil"/>
              <w:left w:val="single" w:sz="8" w:space="0" w:color="auto"/>
              <w:bottom w:val="single" w:sz="8" w:space="0" w:color="auto"/>
              <w:right w:val="nil"/>
            </w:tcBorders>
            <w:shd w:val="clear" w:color="000000" w:fill="C5D9F1"/>
            <w:vAlign w:val="center"/>
            <w:hideMark/>
          </w:tcPr>
          <w:p w:rsidR="00B850FB" w:rsidRPr="00295CB5" w:rsidRDefault="00B850FB" w:rsidP="003F6133">
            <w:pPr>
              <w:spacing w:after="0" w:line="240" w:lineRule="auto"/>
              <w:rPr>
                <w:rFonts w:ascii="Calibri" w:eastAsia="Times New Roman" w:hAnsi="Calibri" w:cs="Arial"/>
                <w:color w:val="000000"/>
                <w:sz w:val="22"/>
                <w:szCs w:val="22"/>
              </w:rPr>
            </w:pPr>
            <w:r w:rsidRPr="00295CB5">
              <w:rPr>
                <w:rFonts w:ascii="Calibri" w:eastAsia="Times New Roman" w:hAnsi="Calibri" w:cs="Arial"/>
                <w:color w:val="000000"/>
                <w:sz w:val="22"/>
                <w:szCs w:val="22"/>
              </w:rPr>
              <w:t>Canada (exc. territories)</w:t>
            </w:r>
          </w:p>
        </w:tc>
        <w:tc>
          <w:tcPr>
            <w:tcW w:w="1180" w:type="dxa"/>
            <w:tcBorders>
              <w:top w:val="nil"/>
              <w:left w:val="single" w:sz="8" w:space="0" w:color="auto"/>
              <w:bottom w:val="single" w:sz="8" w:space="0" w:color="auto"/>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$357</w:t>
            </w:r>
          </w:p>
        </w:tc>
        <w:tc>
          <w:tcPr>
            <w:tcW w:w="1260" w:type="dxa"/>
            <w:tcBorders>
              <w:top w:val="nil"/>
              <w:left w:val="nil"/>
              <w:bottom w:val="single" w:sz="8" w:space="0" w:color="auto"/>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$460</w:t>
            </w:r>
          </w:p>
        </w:tc>
        <w:tc>
          <w:tcPr>
            <w:tcW w:w="1160" w:type="dxa"/>
            <w:tcBorders>
              <w:top w:val="nil"/>
              <w:left w:val="nil"/>
              <w:bottom w:val="single" w:sz="8" w:space="0" w:color="auto"/>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$477</w:t>
            </w:r>
          </w:p>
        </w:tc>
        <w:tc>
          <w:tcPr>
            <w:tcW w:w="1220" w:type="dxa"/>
            <w:tcBorders>
              <w:top w:val="nil"/>
              <w:left w:val="nil"/>
              <w:bottom w:val="single" w:sz="8" w:space="0" w:color="auto"/>
              <w:right w:val="single" w:sz="8" w:space="0" w:color="auto"/>
            </w:tcBorders>
            <w:shd w:val="clear" w:color="000000" w:fill="C5D9F1"/>
            <w:noWrap/>
            <w:vAlign w:val="center"/>
            <w:hideMark/>
          </w:tcPr>
          <w:p w:rsidR="00B850FB" w:rsidRPr="00295CB5" w:rsidRDefault="00B850FB" w:rsidP="003F6133">
            <w:pPr>
              <w:spacing w:after="0" w:line="240" w:lineRule="auto"/>
              <w:jc w:val="right"/>
              <w:rPr>
                <w:rFonts w:ascii="Calibri" w:eastAsia="Times New Roman" w:hAnsi="Calibri" w:cs="Arial"/>
                <w:color w:val="000000"/>
                <w:sz w:val="22"/>
                <w:szCs w:val="22"/>
              </w:rPr>
            </w:pPr>
            <w:r w:rsidRPr="00295CB5">
              <w:rPr>
                <w:rFonts w:ascii="Calibri" w:eastAsia="Times New Roman" w:hAnsi="Calibri" w:cs="Arial"/>
                <w:color w:val="000000"/>
                <w:sz w:val="22"/>
                <w:szCs w:val="22"/>
              </w:rPr>
              <w:t>$323</w:t>
            </w:r>
          </w:p>
        </w:tc>
      </w:tr>
      <w:tr w:rsidR="00B850FB" w:rsidRPr="00A32DF2" w:rsidTr="003F6133">
        <w:trPr>
          <w:trHeight w:val="300"/>
          <w:jc w:val="center"/>
        </w:trPr>
        <w:tc>
          <w:tcPr>
            <w:tcW w:w="8240" w:type="dxa"/>
            <w:gridSpan w:val="5"/>
            <w:tcBorders>
              <w:top w:val="nil"/>
              <w:left w:val="nil"/>
              <w:bottom w:val="nil"/>
              <w:right w:val="nil"/>
            </w:tcBorders>
            <w:shd w:val="clear" w:color="auto" w:fill="auto"/>
            <w:noWrap/>
            <w:vAlign w:val="bottom"/>
            <w:hideMark/>
          </w:tcPr>
          <w:p w:rsidR="00B850FB" w:rsidRPr="00295CB5" w:rsidRDefault="00B850FB" w:rsidP="003F6133">
            <w:pPr>
              <w:spacing w:after="0" w:line="240" w:lineRule="auto"/>
              <w:rPr>
                <w:rFonts w:ascii="Calibri" w:eastAsia="Times New Roman" w:hAnsi="Calibri"/>
                <w:color w:val="000000"/>
                <w:sz w:val="16"/>
                <w:szCs w:val="16"/>
              </w:rPr>
            </w:pPr>
            <w:r w:rsidRPr="00295CB5">
              <w:rPr>
                <w:rFonts w:ascii="Calibri" w:eastAsia="Times New Roman" w:hAnsi="Calibri"/>
                <w:color w:val="000000"/>
                <w:sz w:val="16"/>
                <w:szCs w:val="16"/>
              </w:rPr>
              <w:t>Source: SLID 2009 PUMF</w:t>
            </w:r>
          </w:p>
          <w:p w:rsidR="00B850FB" w:rsidRPr="00295CB5" w:rsidRDefault="00B850FB" w:rsidP="003F6133">
            <w:pPr>
              <w:spacing w:after="0" w:line="240" w:lineRule="auto"/>
              <w:rPr>
                <w:rFonts w:ascii="Calibri" w:hAnsi="Calibri" w:cs="Arial"/>
                <w:sz w:val="22"/>
                <w:szCs w:val="22"/>
              </w:rPr>
            </w:pPr>
            <w:r w:rsidRPr="00295CB5">
              <w:rPr>
                <w:rFonts w:ascii="Calibri" w:hAnsi="Calibri" w:cs="Arial"/>
                <w:sz w:val="16"/>
                <w:szCs w:val="16"/>
              </w:rPr>
              <w:t>*F – Sample size too small for data to be reliable.</w:t>
            </w:r>
          </w:p>
        </w:tc>
      </w:tr>
    </w:tbl>
    <w:p w:rsidR="00967EA3" w:rsidRDefault="00967EA3" w:rsidP="00967EA3"/>
    <w:p w:rsidR="00B850FB" w:rsidRPr="00967EA3" w:rsidRDefault="003B3222" w:rsidP="00967EA3">
      <w:r>
        <w:br w:type="page"/>
      </w:r>
    </w:p>
    <w:tbl>
      <w:tblPr>
        <w:tblW w:w="5395" w:type="dxa"/>
        <w:jc w:val="center"/>
        <w:tblLook w:val="04A0" w:firstRow="1" w:lastRow="0" w:firstColumn="1" w:lastColumn="0" w:noHBand="0" w:noVBand="1"/>
      </w:tblPr>
      <w:tblGrid>
        <w:gridCol w:w="2090"/>
        <w:gridCol w:w="1117"/>
        <w:gridCol w:w="1017"/>
        <w:gridCol w:w="1171"/>
      </w:tblGrid>
      <w:tr w:rsidR="00DE1809" w:rsidRPr="00DE1809" w:rsidTr="00DE1809">
        <w:trPr>
          <w:trHeight w:val="330"/>
          <w:jc w:val="center"/>
        </w:trPr>
        <w:tc>
          <w:tcPr>
            <w:tcW w:w="5395" w:type="dxa"/>
            <w:gridSpan w:val="4"/>
            <w:tcBorders>
              <w:top w:val="single" w:sz="12" w:space="0" w:color="auto"/>
              <w:left w:val="single" w:sz="12" w:space="0" w:color="auto"/>
              <w:bottom w:val="single" w:sz="12" w:space="0" w:color="000000"/>
              <w:right w:val="single" w:sz="12" w:space="0" w:color="000000"/>
            </w:tcBorders>
            <w:shd w:val="clear" w:color="auto" w:fill="auto"/>
            <w:vAlign w:val="bottom"/>
            <w:hideMark/>
          </w:tcPr>
          <w:p w:rsidR="00DE1809" w:rsidRPr="00DE1809" w:rsidRDefault="00B850FB" w:rsidP="00DE1809">
            <w:pPr>
              <w:spacing w:after="0" w:line="240" w:lineRule="auto"/>
              <w:rPr>
                <w:rFonts w:ascii="Arial" w:eastAsia="Times New Roman" w:hAnsi="Arial" w:cs="Arial"/>
                <w:b/>
                <w:bCs/>
                <w:sz w:val="20"/>
                <w:szCs w:val="20"/>
              </w:rPr>
            </w:pPr>
            <w:r>
              <w:rPr>
                <w:rFonts w:ascii="Arial" w:eastAsia="Times New Roman" w:hAnsi="Arial" w:cs="Arial"/>
                <w:b/>
                <w:bCs/>
                <w:sz w:val="20"/>
                <w:szCs w:val="20"/>
              </w:rPr>
              <w:t>Appendix Table 6</w:t>
            </w:r>
            <w:r w:rsidR="00DE1809" w:rsidRPr="00DE1809">
              <w:rPr>
                <w:rFonts w:ascii="Arial" w:eastAsia="Times New Roman" w:hAnsi="Arial" w:cs="Arial"/>
                <w:b/>
                <w:bCs/>
                <w:sz w:val="20"/>
                <w:szCs w:val="20"/>
              </w:rPr>
              <w:t>. Social assistance recipien</w:t>
            </w:r>
            <w:r w:rsidR="00DE1809">
              <w:rPr>
                <w:rFonts w:ascii="Arial" w:eastAsia="Times New Roman" w:hAnsi="Arial" w:cs="Arial"/>
                <w:b/>
                <w:bCs/>
                <w:sz w:val="20"/>
                <w:szCs w:val="20"/>
              </w:rPr>
              <w:t>cy</w:t>
            </w:r>
            <w:r w:rsidR="00DE1809" w:rsidRPr="00DE1809">
              <w:rPr>
                <w:rFonts w:ascii="Arial" w:eastAsia="Times New Roman" w:hAnsi="Arial" w:cs="Arial"/>
                <w:b/>
                <w:bCs/>
                <w:sz w:val="20"/>
                <w:szCs w:val="20"/>
              </w:rPr>
              <w:t xml:space="preserve"> of working-age people with and without disabilities in the 10 provinces, by low income status</w:t>
            </w:r>
          </w:p>
        </w:tc>
      </w:tr>
      <w:tr w:rsidR="00DE1809" w:rsidRPr="00DE1809" w:rsidTr="00DE1809">
        <w:trPr>
          <w:trHeight w:val="315"/>
          <w:jc w:val="center"/>
        </w:trPr>
        <w:tc>
          <w:tcPr>
            <w:tcW w:w="2090" w:type="dxa"/>
            <w:vMerge w:val="restart"/>
            <w:tcBorders>
              <w:top w:val="nil"/>
              <w:left w:val="single" w:sz="12" w:space="0" w:color="auto"/>
              <w:bottom w:val="single" w:sz="12" w:space="0" w:color="000000"/>
              <w:right w:val="single" w:sz="12" w:space="0" w:color="000000"/>
            </w:tcBorders>
            <w:shd w:val="clear" w:color="auto" w:fill="auto"/>
            <w:vAlign w:val="bottom"/>
            <w:hideMark/>
          </w:tcPr>
          <w:p w:rsidR="00DE1809" w:rsidRPr="00DE1809" w:rsidRDefault="00DE1809" w:rsidP="00DE1809">
            <w:pPr>
              <w:spacing w:after="0" w:line="240" w:lineRule="auto"/>
              <w:rPr>
                <w:rFonts w:ascii="Arial" w:eastAsia="Times New Roman" w:hAnsi="Arial" w:cs="Arial"/>
                <w:color w:val="000000"/>
                <w:sz w:val="18"/>
                <w:szCs w:val="18"/>
              </w:rPr>
            </w:pPr>
            <w:r w:rsidRPr="00DE1809">
              <w:rPr>
                <w:rFonts w:ascii="Arial" w:eastAsia="Times New Roman" w:hAnsi="Arial" w:cs="Arial"/>
                <w:color w:val="000000"/>
                <w:sz w:val="18"/>
                <w:szCs w:val="18"/>
              </w:rPr>
              <w:t> </w:t>
            </w:r>
          </w:p>
        </w:tc>
        <w:tc>
          <w:tcPr>
            <w:tcW w:w="3305" w:type="dxa"/>
            <w:gridSpan w:val="3"/>
            <w:tcBorders>
              <w:top w:val="single" w:sz="12" w:space="0" w:color="000000"/>
              <w:left w:val="nil"/>
              <w:bottom w:val="single" w:sz="4" w:space="0" w:color="000000"/>
              <w:right w:val="single" w:sz="12" w:space="0" w:color="000000"/>
            </w:tcBorders>
            <w:shd w:val="clear" w:color="auto" w:fill="auto"/>
            <w:vAlign w:val="bottom"/>
            <w:hideMark/>
          </w:tcPr>
          <w:p w:rsidR="00DE1809" w:rsidRPr="00DE1809" w:rsidRDefault="00DE1809" w:rsidP="00DE1809">
            <w:pPr>
              <w:spacing w:after="0" w:line="240" w:lineRule="auto"/>
              <w:jc w:val="center"/>
              <w:rPr>
                <w:rFonts w:ascii="Arial" w:eastAsia="Times New Roman" w:hAnsi="Arial" w:cs="Arial"/>
                <w:b/>
                <w:bCs/>
                <w:color w:val="000000"/>
                <w:sz w:val="18"/>
                <w:szCs w:val="18"/>
              </w:rPr>
            </w:pPr>
            <w:r w:rsidRPr="00DE1809">
              <w:rPr>
                <w:rFonts w:ascii="Arial" w:eastAsia="Times New Roman" w:hAnsi="Arial" w:cs="Arial"/>
                <w:b/>
                <w:bCs/>
                <w:color w:val="000000"/>
                <w:sz w:val="18"/>
                <w:szCs w:val="18"/>
              </w:rPr>
              <w:t>Social assistance</w:t>
            </w:r>
            <w:r w:rsidR="00E1557C">
              <w:rPr>
                <w:rFonts w:ascii="Arial" w:eastAsia="Times New Roman" w:hAnsi="Arial" w:cs="Arial"/>
                <w:b/>
                <w:bCs/>
                <w:color w:val="000000"/>
                <w:sz w:val="18"/>
                <w:szCs w:val="18"/>
              </w:rPr>
              <w:t xml:space="preserve"> in 2009</w:t>
            </w:r>
            <w:r w:rsidRPr="00DE1809">
              <w:rPr>
                <w:rFonts w:ascii="Arial" w:eastAsia="Times New Roman" w:hAnsi="Arial" w:cs="Arial"/>
                <w:b/>
                <w:bCs/>
                <w:color w:val="000000"/>
                <w:sz w:val="18"/>
                <w:szCs w:val="18"/>
              </w:rPr>
              <w:t>?</w:t>
            </w:r>
          </w:p>
        </w:tc>
      </w:tr>
      <w:tr w:rsidR="00DE1809" w:rsidRPr="00DE1809" w:rsidTr="00DE1809">
        <w:trPr>
          <w:trHeight w:val="315"/>
          <w:jc w:val="center"/>
        </w:trPr>
        <w:tc>
          <w:tcPr>
            <w:tcW w:w="2090" w:type="dxa"/>
            <w:vMerge/>
            <w:tcBorders>
              <w:top w:val="nil"/>
              <w:left w:val="single" w:sz="12" w:space="0" w:color="auto"/>
              <w:bottom w:val="single" w:sz="12" w:space="0" w:color="000000"/>
              <w:right w:val="single" w:sz="12" w:space="0" w:color="000000"/>
            </w:tcBorders>
            <w:vAlign w:val="center"/>
            <w:hideMark/>
          </w:tcPr>
          <w:p w:rsidR="00DE1809" w:rsidRPr="00DE1809" w:rsidRDefault="00DE1809" w:rsidP="00DE1809">
            <w:pPr>
              <w:spacing w:after="0" w:line="240" w:lineRule="auto"/>
              <w:rPr>
                <w:rFonts w:ascii="Arial" w:eastAsia="Times New Roman" w:hAnsi="Arial" w:cs="Arial"/>
                <w:color w:val="000000"/>
                <w:sz w:val="18"/>
                <w:szCs w:val="18"/>
              </w:rPr>
            </w:pPr>
          </w:p>
        </w:tc>
        <w:tc>
          <w:tcPr>
            <w:tcW w:w="1117" w:type="dxa"/>
            <w:tcBorders>
              <w:top w:val="nil"/>
              <w:left w:val="nil"/>
              <w:bottom w:val="single" w:sz="12" w:space="0" w:color="000000"/>
              <w:right w:val="single" w:sz="4" w:space="0" w:color="000000"/>
            </w:tcBorders>
            <w:shd w:val="clear" w:color="auto" w:fill="auto"/>
            <w:noWrap/>
            <w:vAlign w:val="bottom"/>
            <w:hideMark/>
          </w:tcPr>
          <w:p w:rsidR="00DE1809" w:rsidRPr="00DE1809" w:rsidRDefault="00DE1809" w:rsidP="00DE1809">
            <w:pPr>
              <w:spacing w:after="0" w:line="240" w:lineRule="auto"/>
              <w:jc w:val="right"/>
              <w:rPr>
                <w:rFonts w:ascii="Arial" w:eastAsia="Times New Roman" w:hAnsi="Arial" w:cs="Arial"/>
                <w:b/>
                <w:bCs/>
                <w:color w:val="000000"/>
                <w:sz w:val="18"/>
                <w:szCs w:val="18"/>
              </w:rPr>
            </w:pPr>
            <w:r w:rsidRPr="00DE1809">
              <w:rPr>
                <w:rFonts w:ascii="Arial" w:eastAsia="Times New Roman" w:hAnsi="Arial" w:cs="Arial"/>
                <w:b/>
                <w:bCs/>
                <w:color w:val="000000"/>
                <w:sz w:val="18"/>
                <w:szCs w:val="18"/>
              </w:rPr>
              <w:t>No</w:t>
            </w:r>
          </w:p>
        </w:tc>
        <w:tc>
          <w:tcPr>
            <w:tcW w:w="1017" w:type="dxa"/>
            <w:tcBorders>
              <w:top w:val="nil"/>
              <w:left w:val="nil"/>
              <w:bottom w:val="single" w:sz="12" w:space="0" w:color="000000"/>
              <w:right w:val="single" w:sz="4" w:space="0" w:color="000000"/>
            </w:tcBorders>
            <w:shd w:val="clear" w:color="auto" w:fill="auto"/>
            <w:noWrap/>
            <w:vAlign w:val="bottom"/>
            <w:hideMark/>
          </w:tcPr>
          <w:p w:rsidR="00DE1809" w:rsidRPr="00DE1809" w:rsidRDefault="00DE1809" w:rsidP="00DE1809">
            <w:pPr>
              <w:spacing w:after="0" w:line="240" w:lineRule="auto"/>
              <w:jc w:val="right"/>
              <w:rPr>
                <w:rFonts w:ascii="Arial" w:eastAsia="Times New Roman" w:hAnsi="Arial" w:cs="Arial"/>
                <w:b/>
                <w:bCs/>
                <w:color w:val="000000"/>
                <w:sz w:val="18"/>
                <w:szCs w:val="18"/>
              </w:rPr>
            </w:pPr>
            <w:r w:rsidRPr="00DE1809">
              <w:rPr>
                <w:rFonts w:ascii="Arial" w:eastAsia="Times New Roman" w:hAnsi="Arial" w:cs="Arial"/>
                <w:b/>
                <w:bCs/>
                <w:color w:val="000000"/>
                <w:sz w:val="18"/>
                <w:szCs w:val="18"/>
              </w:rPr>
              <w:t>Yes</w:t>
            </w:r>
          </w:p>
        </w:tc>
        <w:tc>
          <w:tcPr>
            <w:tcW w:w="1171" w:type="dxa"/>
            <w:tcBorders>
              <w:top w:val="nil"/>
              <w:left w:val="nil"/>
              <w:bottom w:val="single" w:sz="12" w:space="0" w:color="000000"/>
              <w:right w:val="single" w:sz="12" w:space="0" w:color="000000"/>
            </w:tcBorders>
            <w:shd w:val="clear" w:color="auto" w:fill="auto"/>
            <w:vAlign w:val="bottom"/>
            <w:hideMark/>
          </w:tcPr>
          <w:p w:rsidR="00DE1809" w:rsidRPr="00DE1809" w:rsidRDefault="00DE1809" w:rsidP="00DE1809">
            <w:pPr>
              <w:spacing w:after="0" w:line="240" w:lineRule="auto"/>
              <w:jc w:val="right"/>
              <w:rPr>
                <w:rFonts w:ascii="Arial" w:eastAsia="Times New Roman" w:hAnsi="Arial" w:cs="Arial"/>
                <w:b/>
                <w:bCs/>
                <w:color w:val="000000"/>
                <w:sz w:val="18"/>
                <w:szCs w:val="18"/>
              </w:rPr>
            </w:pPr>
            <w:r w:rsidRPr="00DE1809">
              <w:rPr>
                <w:rFonts w:ascii="Arial" w:eastAsia="Times New Roman" w:hAnsi="Arial" w:cs="Arial"/>
                <w:b/>
                <w:bCs/>
                <w:color w:val="000000"/>
                <w:sz w:val="18"/>
                <w:szCs w:val="18"/>
              </w:rPr>
              <w:t>Total</w:t>
            </w:r>
          </w:p>
        </w:tc>
      </w:tr>
      <w:tr w:rsidR="00522706" w:rsidRPr="00DE1809" w:rsidTr="00D927E7">
        <w:trPr>
          <w:trHeight w:val="330"/>
          <w:jc w:val="center"/>
        </w:trPr>
        <w:tc>
          <w:tcPr>
            <w:tcW w:w="2090" w:type="dxa"/>
            <w:tcBorders>
              <w:top w:val="nil"/>
              <w:left w:val="single" w:sz="12" w:space="0" w:color="auto"/>
              <w:bottom w:val="single" w:sz="12" w:space="0" w:color="000000"/>
              <w:right w:val="single" w:sz="12" w:space="0" w:color="000000"/>
            </w:tcBorders>
            <w:shd w:val="clear" w:color="auto" w:fill="auto"/>
            <w:vAlign w:val="center"/>
            <w:hideMark/>
          </w:tcPr>
          <w:p w:rsidR="00522706" w:rsidRPr="00DE1809" w:rsidRDefault="00522706" w:rsidP="00D927E7">
            <w:pPr>
              <w:spacing w:after="0" w:line="240" w:lineRule="auto"/>
              <w:rPr>
                <w:rFonts w:ascii="Arial" w:eastAsia="Times New Roman" w:hAnsi="Arial" w:cs="Arial"/>
                <w:b/>
                <w:bCs/>
                <w:color w:val="000000"/>
                <w:sz w:val="18"/>
                <w:szCs w:val="18"/>
              </w:rPr>
            </w:pPr>
            <w:r w:rsidRPr="00DE1809">
              <w:rPr>
                <w:rFonts w:ascii="Arial" w:eastAsia="Times New Roman" w:hAnsi="Arial" w:cs="Arial"/>
                <w:b/>
                <w:bCs/>
                <w:color w:val="000000"/>
                <w:sz w:val="18"/>
                <w:szCs w:val="18"/>
              </w:rPr>
              <w:t>All incomes</w:t>
            </w:r>
          </w:p>
        </w:tc>
        <w:tc>
          <w:tcPr>
            <w:tcW w:w="3305" w:type="dxa"/>
            <w:gridSpan w:val="3"/>
            <w:tcBorders>
              <w:top w:val="single" w:sz="12" w:space="0" w:color="000000"/>
              <w:left w:val="nil"/>
              <w:bottom w:val="single" w:sz="12" w:space="0" w:color="000000"/>
              <w:right w:val="single" w:sz="12" w:space="0" w:color="000000"/>
            </w:tcBorders>
            <w:shd w:val="clear" w:color="auto" w:fill="auto"/>
            <w:noWrap/>
            <w:vAlign w:val="bottom"/>
            <w:hideMark/>
          </w:tcPr>
          <w:p w:rsidR="00522706" w:rsidRPr="00DE1809" w:rsidRDefault="00522706" w:rsidP="00D927E7">
            <w:pPr>
              <w:spacing w:after="0" w:line="240" w:lineRule="auto"/>
              <w:jc w:val="center"/>
              <w:rPr>
                <w:rFonts w:ascii="Arial" w:eastAsia="Times New Roman" w:hAnsi="Arial" w:cs="Arial"/>
                <w:color w:val="000000"/>
                <w:sz w:val="18"/>
                <w:szCs w:val="18"/>
              </w:rPr>
            </w:pPr>
            <w:r w:rsidRPr="00DE1809">
              <w:rPr>
                <w:rFonts w:ascii="Arial" w:eastAsia="Times New Roman" w:hAnsi="Arial" w:cs="Arial"/>
                <w:color w:val="000000"/>
                <w:sz w:val="18"/>
                <w:szCs w:val="18"/>
              </w:rPr>
              <w:t> </w:t>
            </w:r>
          </w:p>
        </w:tc>
      </w:tr>
      <w:tr w:rsidR="00522706" w:rsidRPr="00DE1809" w:rsidTr="00522706">
        <w:trPr>
          <w:trHeight w:val="315"/>
          <w:jc w:val="center"/>
        </w:trPr>
        <w:tc>
          <w:tcPr>
            <w:tcW w:w="2090" w:type="dxa"/>
            <w:tcBorders>
              <w:top w:val="nil"/>
              <w:left w:val="single" w:sz="12" w:space="0" w:color="auto"/>
              <w:bottom w:val="nil"/>
              <w:right w:val="single" w:sz="12" w:space="0" w:color="000000"/>
            </w:tcBorders>
            <w:shd w:val="clear" w:color="auto" w:fill="B8CCE4"/>
            <w:vAlign w:val="center"/>
            <w:hideMark/>
          </w:tcPr>
          <w:p w:rsidR="00522706" w:rsidRPr="00DE1809" w:rsidRDefault="00522706" w:rsidP="00D927E7">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 disability</w:t>
            </w:r>
          </w:p>
        </w:tc>
        <w:tc>
          <w:tcPr>
            <w:tcW w:w="1117" w:type="dxa"/>
            <w:tcBorders>
              <w:top w:val="nil"/>
              <w:left w:val="nil"/>
              <w:bottom w:val="nil"/>
              <w:right w:val="single" w:sz="4"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21.0%</w:t>
            </w:r>
          </w:p>
        </w:tc>
        <w:tc>
          <w:tcPr>
            <w:tcW w:w="1017" w:type="dxa"/>
            <w:tcBorders>
              <w:top w:val="nil"/>
              <w:left w:val="nil"/>
              <w:bottom w:val="nil"/>
              <w:right w:val="single" w:sz="4"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68.0%</w:t>
            </w:r>
          </w:p>
        </w:tc>
        <w:tc>
          <w:tcPr>
            <w:tcW w:w="1171" w:type="dxa"/>
            <w:tcBorders>
              <w:top w:val="nil"/>
              <w:left w:val="nil"/>
              <w:bottom w:val="nil"/>
              <w:right w:val="single" w:sz="12"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23.6%</w:t>
            </w:r>
          </w:p>
        </w:tc>
      </w:tr>
      <w:tr w:rsidR="00522706" w:rsidRPr="00DE1809" w:rsidTr="00D927E7">
        <w:trPr>
          <w:trHeight w:val="300"/>
          <w:jc w:val="center"/>
        </w:trPr>
        <w:tc>
          <w:tcPr>
            <w:tcW w:w="2090" w:type="dxa"/>
            <w:tcBorders>
              <w:top w:val="nil"/>
              <w:left w:val="single" w:sz="12" w:space="0" w:color="auto"/>
              <w:bottom w:val="nil"/>
              <w:right w:val="single" w:sz="12" w:space="0" w:color="000000"/>
            </w:tcBorders>
            <w:shd w:val="clear" w:color="auto" w:fill="auto"/>
            <w:vAlign w:val="center"/>
            <w:hideMark/>
          </w:tcPr>
          <w:p w:rsidR="00522706" w:rsidRPr="00DE1809" w:rsidRDefault="00522706" w:rsidP="00D927E7">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Without disability</w:t>
            </w:r>
          </w:p>
        </w:tc>
        <w:tc>
          <w:tcPr>
            <w:tcW w:w="1117" w:type="dxa"/>
            <w:tcBorders>
              <w:top w:val="nil"/>
              <w:left w:val="nil"/>
              <w:bottom w:val="nil"/>
              <w:right w:val="single" w:sz="4"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79.0%</w:t>
            </w:r>
          </w:p>
        </w:tc>
        <w:tc>
          <w:tcPr>
            <w:tcW w:w="1017" w:type="dxa"/>
            <w:tcBorders>
              <w:top w:val="nil"/>
              <w:left w:val="nil"/>
              <w:bottom w:val="nil"/>
              <w:right w:val="single" w:sz="4"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32.0%</w:t>
            </w:r>
          </w:p>
        </w:tc>
        <w:tc>
          <w:tcPr>
            <w:tcW w:w="1171" w:type="dxa"/>
            <w:tcBorders>
              <w:top w:val="nil"/>
              <w:left w:val="nil"/>
              <w:bottom w:val="nil"/>
              <w:right w:val="single" w:sz="12"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76.4%</w:t>
            </w:r>
          </w:p>
        </w:tc>
      </w:tr>
      <w:tr w:rsidR="00522706" w:rsidRPr="00DE1809" w:rsidTr="00522706">
        <w:trPr>
          <w:trHeight w:val="300"/>
          <w:jc w:val="center"/>
        </w:trPr>
        <w:tc>
          <w:tcPr>
            <w:tcW w:w="2090" w:type="dxa"/>
            <w:tcBorders>
              <w:top w:val="single" w:sz="4" w:space="0" w:color="auto"/>
              <w:left w:val="single" w:sz="12" w:space="0" w:color="auto"/>
              <w:bottom w:val="single" w:sz="4" w:space="0" w:color="auto"/>
              <w:right w:val="single" w:sz="12" w:space="0" w:color="000000"/>
            </w:tcBorders>
            <w:shd w:val="clear" w:color="auto" w:fill="B8CCE4"/>
            <w:vAlign w:val="center"/>
            <w:hideMark/>
          </w:tcPr>
          <w:p w:rsidR="00522706" w:rsidRPr="00DE1809" w:rsidRDefault="00522706" w:rsidP="00D927E7">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w:t>
            </w:r>
          </w:p>
        </w:tc>
        <w:tc>
          <w:tcPr>
            <w:tcW w:w="1117" w:type="dxa"/>
            <w:tcBorders>
              <w:top w:val="single" w:sz="4" w:space="0" w:color="auto"/>
              <w:left w:val="nil"/>
              <w:bottom w:val="single" w:sz="4" w:space="0" w:color="auto"/>
              <w:right w:val="single" w:sz="4"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017" w:type="dxa"/>
            <w:tcBorders>
              <w:top w:val="single" w:sz="4" w:space="0" w:color="auto"/>
              <w:left w:val="nil"/>
              <w:bottom w:val="single" w:sz="4" w:space="0" w:color="auto"/>
              <w:right w:val="single" w:sz="4"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171" w:type="dxa"/>
            <w:tcBorders>
              <w:top w:val="single" w:sz="4" w:space="0" w:color="auto"/>
              <w:left w:val="nil"/>
              <w:bottom w:val="single" w:sz="4" w:space="0" w:color="auto"/>
              <w:right w:val="single" w:sz="12" w:space="0" w:color="000000"/>
            </w:tcBorders>
            <w:shd w:val="clear" w:color="auto" w:fill="B8CCE4"/>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r>
      <w:tr w:rsidR="00522706" w:rsidRPr="00DE1809" w:rsidTr="00D927E7">
        <w:trPr>
          <w:trHeight w:val="315"/>
          <w:jc w:val="center"/>
        </w:trPr>
        <w:tc>
          <w:tcPr>
            <w:tcW w:w="2090" w:type="dxa"/>
            <w:tcBorders>
              <w:top w:val="nil"/>
              <w:left w:val="single" w:sz="12" w:space="0" w:color="auto"/>
              <w:bottom w:val="single" w:sz="12" w:space="0" w:color="000000"/>
              <w:right w:val="single" w:sz="12" w:space="0" w:color="000000"/>
            </w:tcBorders>
            <w:shd w:val="clear" w:color="auto" w:fill="auto"/>
            <w:vAlign w:val="center"/>
            <w:hideMark/>
          </w:tcPr>
          <w:p w:rsidR="00522706" w:rsidRPr="00DE1809" w:rsidRDefault="00522706" w:rsidP="00D927E7">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number</w:t>
            </w:r>
          </w:p>
        </w:tc>
        <w:tc>
          <w:tcPr>
            <w:tcW w:w="1117" w:type="dxa"/>
            <w:tcBorders>
              <w:top w:val="nil"/>
              <w:left w:val="nil"/>
              <w:bottom w:val="single" w:sz="12" w:space="0" w:color="000000"/>
              <w:right w:val="single" w:sz="4"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21,164,400</w:t>
            </w:r>
          </w:p>
        </w:tc>
        <w:tc>
          <w:tcPr>
            <w:tcW w:w="1017" w:type="dxa"/>
            <w:tcBorders>
              <w:top w:val="nil"/>
              <w:left w:val="nil"/>
              <w:bottom w:val="single" w:sz="12" w:space="0" w:color="000000"/>
              <w:right w:val="single" w:sz="4"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1,255,800</w:t>
            </w:r>
          </w:p>
        </w:tc>
        <w:tc>
          <w:tcPr>
            <w:tcW w:w="1171" w:type="dxa"/>
            <w:tcBorders>
              <w:top w:val="nil"/>
              <w:left w:val="nil"/>
              <w:bottom w:val="single" w:sz="12" w:space="0" w:color="000000"/>
              <w:right w:val="single" w:sz="12" w:space="0" w:color="000000"/>
            </w:tcBorders>
            <w:shd w:val="clear" w:color="auto" w:fill="auto"/>
            <w:noWrap/>
            <w:vAlign w:val="center"/>
            <w:hideMark/>
          </w:tcPr>
          <w:p w:rsidR="00522706" w:rsidRPr="00DE1809" w:rsidRDefault="00522706" w:rsidP="00D927E7">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22,420,100</w:t>
            </w:r>
          </w:p>
        </w:tc>
      </w:tr>
      <w:tr w:rsidR="008B1BF4" w:rsidRPr="00DE1809" w:rsidTr="00C30C14">
        <w:trPr>
          <w:trHeight w:val="330"/>
          <w:jc w:val="center"/>
        </w:trPr>
        <w:tc>
          <w:tcPr>
            <w:tcW w:w="5395" w:type="dxa"/>
            <w:gridSpan w:val="4"/>
            <w:tcBorders>
              <w:top w:val="nil"/>
              <w:left w:val="single" w:sz="12" w:space="0" w:color="auto"/>
              <w:bottom w:val="single" w:sz="12" w:space="0" w:color="000000"/>
              <w:right w:val="single" w:sz="12" w:space="0" w:color="000000"/>
            </w:tcBorders>
            <w:shd w:val="clear" w:color="auto" w:fill="auto"/>
            <w:vAlign w:val="center"/>
            <w:hideMark/>
          </w:tcPr>
          <w:p w:rsidR="008B1BF4" w:rsidRPr="008B1BF4" w:rsidRDefault="00522706" w:rsidP="008B1BF4">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w:t>
            </w:r>
            <w:r w:rsidR="008B1BF4" w:rsidRPr="00DE1809">
              <w:rPr>
                <w:rFonts w:ascii="Arial" w:eastAsia="Times New Roman" w:hAnsi="Arial" w:cs="Arial"/>
                <w:b/>
                <w:bCs/>
                <w:color w:val="000000"/>
                <w:sz w:val="18"/>
                <w:szCs w:val="18"/>
              </w:rPr>
              <w:t>Low income</w:t>
            </w:r>
            <w:r w:rsidR="008B1BF4">
              <w:rPr>
                <w:rFonts w:ascii="Arial" w:eastAsia="Times New Roman" w:hAnsi="Arial" w:cs="Arial"/>
                <w:b/>
                <w:bCs/>
                <w:color w:val="000000"/>
                <w:sz w:val="18"/>
                <w:szCs w:val="18"/>
              </w:rPr>
              <w:t xml:space="preserve"> (i.e., </w:t>
            </w:r>
            <w:r w:rsidR="00CD570A">
              <w:rPr>
                <w:rFonts w:ascii="Arial" w:eastAsia="Times New Roman" w:hAnsi="Arial" w:cs="Arial"/>
                <w:b/>
                <w:bCs/>
                <w:color w:val="000000"/>
                <w:sz w:val="18"/>
                <w:szCs w:val="18"/>
              </w:rPr>
              <w:t xml:space="preserve">total income </w:t>
            </w:r>
            <w:r w:rsidR="008B1BF4">
              <w:rPr>
                <w:rFonts w:ascii="Arial" w:eastAsia="Times New Roman" w:hAnsi="Arial" w:cs="Arial"/>
                <w:b/>
                <w:bCs/>
                <w:color w:val="000000"/>
                <w:sz w:val="18"/>
                <w:szCs w:val="18"/>
              </w:rPr>
              <w:t>below the LICO)</w:t>
            </w:r>
            <w:r w:rsidR="008B1BF4" w:rsidRPr="00DE1809">
              <w:rPr>
                <w:rFonts w:ascii="Arial" w:eastAsia="Times New Roman" w:hAnsi="Arial" w:cs="Arial"/>
                <w:color w:val="000000"/>
                <w:sz w:val="18"/>
                <w:szCs w:val="18"/>
              </w:rPr>
              <w:t> </w:t>
            </w:r>
          </w:p>
        </w:tc>
      </w:tr>
      <w:tr w:rsidR="00DE1809" w:rsidRPr="00DE1809" w:rsidTr="00A5529B">
        <w:trPr>
          <w:trHeight w:val="315"/>
          <w:jc w:val="center"/>
        </w:trPr>
        <w:tc>
          <w:tcPr>
            <w:tcW w:w="2090" w:type="dxa"/>
            <w:tcBorders>
              <w:top w:val="single" w:sz="12" w:space="0" w:color="000000"/>
              <w:left w:val="single" w:sz="12" w:space="0" w:color="auto"/>
              <w:bottom w:val="nil"/>
              <w:right w:val="single" w:sz="12" w:space="0" w:color="000000"/>
            </w:tcBorders>
            <w:shd w:val="clear" w:color="auto" w:fill="B8CCE4"/>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 disability</w:t>
            </w:r>
          </w:p>
        </w:tc>
        <w:tc>
          <w:tcPr>
            <w:tcW w:w="1117" w:type="dxa"/>
            <w:tcBorders>
              <w:top w:val="single" w:sz="12" w:space="0" w:color="000000"/>
              <w:left w:val="nil"/>
              <w:bottom w:val="nil"/>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29.1%</w:t>
            </w:r>
          </w:p>
        </w:tc>
        <w:tc>
          <w:tcPr>
            <w:tcW w:w="1017" w:type="dxa"/>
            <w:tcBorders>
              <w:top w:val="single" w:sz="12" w:space="0" w:color="000000"/>
              <w:left w:val="nil"/>
              <w:bottom w:val="nil"/>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74.7%</w:t>
            </w:r>
          </w:p>
        </w:tc>
        <w:tc>
          <w:tcPr>
            <w:tcW w:w="1171" w:type="dxa"/>
            <w:tcBorders>
              <w:top w:val="single" w:sz="12" w:space="0" w:color="000000"/>
              <w:left w:val="nil"/>
              <w:bottom w:val="nil"/>
              <w:right w:val="single" w:sz="12"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40.2%</w:t>
            </w:r>
          </w:p>
        </w:tc>
      </w:tr>
      <w:tr w:rsidR="00DE1809" w:rsidRPr="00DE1809" w:rsidTr="00DE1809">
        <w:trPr>
          <w:trHeight w:val="300"/>
          <w:jc w:val="center"/>
        </w:trPr>
        <w:tc>
          <w:tcPr>
            <w:tcW w:w="2090" w:type="dxa"/>
            <w:tcBorders>
              <w:top w:val="nil"/>
              <w:left w:val="single" w:sz="12" w:space="0" w:color="auto"/>
              <w:bottom w:val="nil"/>
              <w:right w:val="single" w:sz="12" w:space="0" w:color="000000"/>
            </w:tcBorders>
            <w:shd w:val="clear" w:color="auto" w:fill="auto"/>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Without disability</w:t>
            </w:r>
          </w:p>
        </w:tc>
        <w:tc>
          <w:tcPr>
            <w:tcW w:w="1117" w:type="dxa"/>
            <w:tcBorders>
              <w:top w:val="nil"/>
              <w:left w:val="nil"/>
              <w:bottom w:val="nil"/>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70.9%</w:t>
            </w:r>
          </w:p>
        </w:tc>
        <w:tc>
          <w:tcPr>
            <w:tcW w:w="1017" w:type="dxa"/>
            <w:tcBorders>
              <w:top w:val="nil"/>
              <w:left w:val="nil"/>
              <w:bottom w:val="nil"/>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25.3%</w:t>
            </w:r>
          </w:p>
        </w:tc>
        <w:tc>
          <w:tcPr>
            <w:tcW w:w="1171" w:type="dxa"/>
            <w:tcBorders>
              <w:top w:val="nil"/>
              <w:left w:val="nil"/>
              <w:bottom w:val="nil"/>
              <w:right w:val="single" w:sz="12"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59.8%</w:t>
            </w:r>
          </w:p>
        </w:tc>
      </w:tr>
      <w:tr w:rsidR="00DE1809" w:rsidRPr="00DE1809" w:rsidTr="00A5529B">
        <w:trPr>
          <w:trHeight w:val="300"/>
          <w:jc w:val="center"/>
        </w:trPr>
        <w:tc>
          <w:tcPr>
            <w:tcW w:w="2090" w:type="dxa"/>
            <w:tcBorders>
              <w:top w:val="single" w:sz="4" w:space="0" w:color="auto"/>
              <w:left w:val="single" w:sz="12" w:space="0" w:color="auto"/>
              <w:bottom w:val="single" w:sz="4" w:space="0" w:color="auto"/>
              <w:right w:val="single" w:sz="12" w:space="0" w:color="000000"/>
            </w:tcBorders>
            <w:shd w:val="clear" w:color="auto" w:fill="B8CCE4"/>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w:t>
            </w:r>
          </w:p>
        </w:tc>
        <w:tc>
          <w:tcPr>
            <w:tcW w:w="1117" w:type="dxa"/>
            <w:tcBorders>
              <w:top w:val="single" w:sz="4" w:space="0" w:color="auto"/>
              <w:left w:val="nil"/>
              <w:bottom w:val="single" w:sz="4" w:space="0" w:color="auto"/>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017" w:type="dxa"/>
            <w:tcBorders>
              <w:top w:val="single" w:sz="4" w:space="0" w:color="auto"/>
              <w:left w:val="nil"/>
              <w:bottom w:val="single" w:sz="4" w:space="0" w:color="auto"/>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171" w:type="dxa"/>
            <w:tcBorders>
              <w:top w:val="single" w:sz="4" w:space="0" w:color="auto"/>
              <w:left w:val="nil"/>
              <w:bottom w:val="single" w:sz="4" w:space="0" w:color="auto"/>
              <w:right w:val="single" w:sz="12"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r>
      <w:tr w:rsidR="00DE1809" w:rsidRPr="00DE1809" w:rsidTr="00DE1809">
        <w:trPr>
          <w:trHeight w:val="315"/>
          <w:jc w:val="center"/>
        </w:trPr>
        <w:tc>
          <w:tcPr>
            <w:tcW w:w="2090" w:type="dxa"/>
            <w:tcBorders>
              <w:top w:val="nil"/>
              <w:left w:val="single" w:sz="12" w:space="0" w:color="auto"/>
              <w:bottom w:val="single" w:sz="12" w:space="0" w:color="000000"/>
              <w:right w:val="single" w:sz="12" w:space="0" w:color="000000"/>
            </w:tcBorders>
            <w:shd w:val="clear" w:color="auto" w:fill="auto"/>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number</w:t>
            </w:r>
          </w:p>
        </w:tc>
        <w:tc>
          <w:tcPr>
            <w:tcW w:w="1117" w:type="dxa"/>
            <w:tcBorders>
              <w:top w:val="nil"/>
              <w:left w:val="nil"/>
              <w:bottom w:val="single" w:sz="12" w:space="0" w:color="000000"/>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1,752,900</w:t>
            </w:r>
          </w:p>
        </w:tc>
        <w:tc>
          <w:tcPr>
            <w:tcW w:w="1017" w:type="dxa"/>
            <w:tcBorders>
              <w:top w:val="nil"/>
              <w:left w:val="nil"/>
              <w:bottom w:val="single" w:sz="12" w:space="0" w:color="000000"/>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563,900</w:t>
            </w:r>
          </w:p>
        </w:tc>
        <w:tc>
          <w:tcPr>
            <w:tcW w:w="1171" w:type="dxa"/>
            <w:tcBorders>
              <w:top w:val="nil"/>
              <w:left w:val="nil"/>
              <w:bottom w:val="single" w:sz="12" w:space="0" w:color="000000"/>
              <w:right w:val="single" w:sz="12"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2,316,900</w:t>
            </w:r>
          </w:p>
        </w:tc>
      </w:tr>
      <w:tr w:rsidR="008B1BF4" w:rsidRPr="00DE1809" w:rsidTr="00D927E7">
        <w:trPr>
          <w:trHeight w:val="330"/>
          <w:jc w:val="center"/>
        </w:trPr>
        <w:tc>
          <w:tcPr>
            <w:tcW w:w="5395" w:type="dxa"/>
            <w:gridSpan w:val="4"/>
            <w:tcBorders>
              <w:top w:val="nil"/>
              <w:left w:val="single" w:sz="12" w:space="0" w:color="auto"/>
              <w:bottom w:val="single" w:sz="12" w:space="0" w:color="000000"/>
              <w:right w:val="single" w:sz="12" w:space="0" w:color="000000"/>
            </w:tcBorders>
            <w:shd w:val="clear" w:color="auto" w:fill="auto"/>
            <w:vAlign w:val="center"/>
            <w:hideMark/>
          </w:tcPr>
          <w:p w:rsidR="008B1BF4" w:rsidRPr="00DE1809" w:rsidRDefault="00522706" w:rsidP="00DE1809">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w:t>
            </w:r>
            <w:r w:rsidR="008B1BF4" w:rsidRPr="00DE1809">
              <w:rPr>
                <w:rFonts w:ascii="Arial" w:eastAsia="Times New Roman" w:hAnsi="Arial" w:cs="Arial"/>
                <w:b/>
                <w:bCs/>
                <w:color w:val="000000"/>
                <w:sz w:val="18"/>
                <w:szCs w:val="18"/>
              </w:rPr>
              <w:t>Not low income</w:t>
            </w:r>
            <w:r w:rsidR="008B1BF4">
              <w:rPr>
                <w:rFonts w:ascii="Arial" w:eastAsia="Times New Roman" w:hAnsi="Arial" w:cs="Arial"/>
                <w:b/>
                <w:bCs/>
                <w:color w:val="000000"/>
                <w:sz w:val="18"/>
                <w:szCs w:val="18"/>
              </w:rPr>
              <w:t xml:space="preserve"> (i.e., </w:t>
            </w:r>
            <w:r w:rsidR="00CD570A">
              <w:rPr>
                <w:rFonts w:ascii="Arial" w:eastAsia="Times New Roman" w:hAnsi="Arial" w:cs="Arial"/>
                <w:b/>
                <w:bCs/>
                <w:color w:val="000000"/>
                <w:sz w:val="18"/>
                <w:szCs w:val="18"/>
              </w:rPr>
              <w:t xml:space="preserve">total income </w:t>
            </w:r>
            <w:r w:rsidR="008B1BF4">
              <w:rPr>
                <w:rFonts w:ascii="Arial" w:eastAsia="Times New Roman" w:hAnsi="Arial" w:cs="Arial"/>
                <w:b/>
                <w:bCs/>
                <w:color w:val="000000"/>
                <w:sz w:val="18"/>
                <w:szCs w:val="18"/>
              </w:rPr>
              <w:t>at or above the LICO)</w:t>
            </w:r>
          </w:p>
        </w:tc>
      </w:tr>
      <w:tr w:rsidR="00DE1809" w:rsidRPr="00DE1809" w:rsidTr="00A5529B">
        <w:trPr>
          <w:trHeight w:val="315"/>
          <w:jc w:val="center"/>
        </w:trPr>
        <w:tc>
          <w:tcPr>
            <w:tcW w:w="2090" w:type="dxa"/>
            <w:tcBorders>
              <w:top w:val="nil"/>
              <w:left w:val="single" w:sz="12" w:space="0" w:color="auto"/>
              <w:bottom w:val="nil"/>
              <w:right w:val="single" w:sz="12" w:space="0" w:color="000000"/>
            </w:tcBorders>
            <w:shd w:val="clear" w:color="auto" w:fill="B8CCE4"/>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 disability</w:t>
            </w:r>
          </w:p>
        </w:tc>
        <w:tc>
          <w:tcPr>
            <w:tcW w:w="1117" w:type="dxa"/>
            <w:tcBorders>
              <w:top w:val="nil"/>
              <w:left w:val="nil"/>
              <w:bottom w:val="nil"/>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20.3%</w:t>
            </w:r>
          </w:p>
        </w:tc>
        <w:tc>
          <w:tcPr>
            <w:tcW w:w="1017" w:type="dxa"/>
            <w:tcBorders>
              <w:top w:val="nil"/>
              <w:left w:val="nil"/>
              <w:bottom w:val="nil"/>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62.4%</w:t>
            </w:r>
          </w:p>
        </w:tc>
        <w:tc>
          <w:tcPr>
            <w:tcW w:w="1171" w:type="dxa"/>
            <w:tcBorders>
              <w:top w:val="nil"/>
              <w:left w:val="nil"/>
              <w:bottom w:val="nil"/>
              <w:right w:val="single" w:sz="12"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21.7%</w:t>
            </w:r>
          </w:p>
        </w:tc>
      </w:tr>
      <w:tr w:rsidR="00DE1809" w:rsidRPr="00DE1809" w:rsidTr="00DE1809">
        <w:trPr>
          <w:trHeight w:val="300"/>
          <w:jc w:val="center"/>
        </w:trPr>
        <w:tc>
          <w:tcPr>
            <w:tcW w:w="2090" w:type="dxa"/>
            <w:tcBorders>
              <w:top w:val="nil"/>
              <w:left w:val="single" w:sz="12" w:space="0" w:color="auto"/>
              <w:bottom w:val="nil"/>
              <w:right w:val="single" w:sz="12" w:space="0" w:color="000000"/>
            </w:tcBorders>
            <w:shd w:val="clear" w:color="auto" w:fill="auto"/>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Without disability</w:t>
            </w:r>
          </w:p>
        </w:tc>
        <w:tc>
          <w:tcPr>
            <w:tcW w:w="1117" w:type="dxa"/>
            <w:tcBorders>
              <w:top w:val="nil"/>
              <w:left w:val="nil"/>
              <w:bottom w:val="nil"/>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79.7%</w:t>
            </w:r>
          </w:p>
        </w:tc>
        <w:tc>
          <w:tcPr>
            <w:tcW w:w="1017" w:type="dxa"/>
            <w:tcBorders>
              <w:top w:val="nil"/>
              <w:left w:val="nil"/>
              <w:bottom w:val="nil"/>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37.6%</w:t>
            </w:r>
          </w:p>
        </w:tc>
        <w:tc>
          <w:tcPr>
            <w:tcW w:w="1171" w:type="dxa"/>
            <w:tcBorders>
              <w:top w:val="nil"/>
              <w:left w:val="nil"/>
              <w:bottom w:val="nil"/>
              <w:right w:val="single" w:sz="12"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78.3%</w:t>
            </w:r>
          </w:p>
        </w:tc>
      </w:tr>
      <w:tr w:rsidR="00DE1809" w:rsidRPr="00DE1809" w:rsidTr="00A5529B">
        <w:trPr>
          <w:trHeight w:val="300"/>
          <w:jc w:val="center"/>
        </w:trPr>
        <w:tc>
          <w:tcPr>
            <w:tcW w:w="2090" w:type="dxa"/>
            <w:tcBorders>
              <w:top w:val="single" w:sz="4" w:space="0" w:color="auto"/>
              <w:left w:val="single" w:sz="12" w:space="0" w:color="auto"/>
              <w:bottom w:val="single" w:sz="4" w:space="0" w:color="auto"/>
              <w:right w:val="single" w:sz="12" w:space="0" w:color="000000"/>
            </w:tcBorders>
            <w:shd w:val="clear" w:color="auto" w:fill="B8CCE4"/>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w:t>
            </w:r>
          </w:p>
        </w:tc>
        <w:tc>
          <w:tcPr>
            <w:tcW w:w="1117" w:type="dxa"/>
            <w:tcBorders>
              <w:top w:val="single" w:sz="4" w:space="0" w:color="auto"/>
              <w:left w:val="nil"/>
              <w:bottom w:val="single" w:sz="4" w:space="0" w:color="auto"/>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017" w:type="dxa"/>
            <w:tcBorders>
              <w:top w:val="single" w:sz="4" w:space="0" w:color="auto"/>
              <w:left w:val="nil"/>
              <w:bottom w:val="single" w:sz="4" w:space="0" w:color="auto"/>
              <w:right w:val="single" w:sz="4"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c>
          <w:tcPr>
            <w:tcW w:w="1171" w:type="dxa"/>
            <w:tcBorders>
              <w:top w:val="single" w:sz="4" w:space="0" w:color="auto"/>
              <w:left w:val="nil"/>
              <w:bottom w:val="single" w:sz="4" w:space="0" w:color="auto"/>
              <w:right w:val="single" w:sz="12" w:space="0" w:color="000000"/>
            </w:tcBorders>
            <w:shd w:val="clear" w:color="auto" w:fill="B8CCE4"/>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100.0%</w:t>
            </w:r>
          </w:p>
        </w:tc>
      </w:tr>
      <w:tr w:rsidR="00DE1809" w:rsidRPr="00DE1809" w:rsidTr="00DE1809">
        <w:trPr>
          <w:trHeight w:val="315"/>
          <w:jc w:val="center"/>
        </w:trPr>
        <w:tc>
          <w:tcPr>
            <w:tcW w:w="2090" w:type="dxa"/>
            <w:tcBorders>
              <w:top w:val="nil"/>
              <w:left w:val="single" w:sz="12" w:space="0" w:color="auto"/>
              <w:bottom w:val="single" w:sz="12" w:space="0" w:color="000000"/>
              <w:right w:val="single" w:sz="12" w:space="0" w:color="000000"/>
            </w:tcBorders>
            <w:shd w:val="clear" w:color="auto" w:fill="auto"/>
            <w:vAlign w:val="center"/>
            <w:hideMark/>
          </w:tcPr>
          <w:p w:rsidR="00DE1809" w:rsidRPr="00DE1809" w:rsidRDefault="00DE1809" w:rsidP="00DE1809">
            <w:pPr>
              <w:spacing w:after="0" w:line="240" w:lineRule="auto"/>
              <w:ind w:firstLineChars="100" w:firstLine="180"/>
              <w:rPr>
                <w:rFonts w:ascii="Arial" w:eastAsia="Times New Roman" w:hAnsi="Arial" w:cs="Arial"/>
                <w:color w:val="000000"/>
                <w:sz w:val="18"/>
                <w:szCs w:val="18"/>
              </w:rPr>
            </w:pPr>
            <w:r w:rsidRPr="00DE1809">
              <w:rPr>
                <w:rFonts w:ascii="Arial" w:eastAsia="Times New Roman" w:hAnsi="Arial" w:cs="Arial"/>
                <w:color w:val="000000"/>
                <w:sz w:val="18"/>
                <w:szCs w:val="18"/>
              </w:rPr>
              <w:t>Total number</w:t>
            </w:r>
          </w:p>
        </w:tc>
        <w:tc>
          <w:tcPr>
            <w:tcW w:w="1117" w:type="dxa"/>
            <w:tcBorders>
              <w:top w:val="nil"/>
              <w:left w:val="nil"/>
              <w:bottom w:val="single" w:sz="12" w:space="0" w:color="000000"/>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19,411,400</w:t>
            </w:r>
          </w:p>
        </w:tc>
        <w:tc>
          <w:tcPr>
            <w:tcW w:w="1017" w:type="dxa"/>
            <w:tcBorders>
              <w:top w:val="nil"/>
              <w:left w:val="nil"/>
              <w:bottom w:val="single" w:sz="12" w:space="0" w:color="000000"/>
              <w:right w:val="single" w:sz="4"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691,900</w:t>
            </w:r>
          </w:p>
        </w:tc>
        <w:tc>
          <w:tcPr>
            <w:tcW w:w="1171" w:type="dxa"/>
            <w:tcBorders>
              <w:top w:val="nil"/>
              <w:left w:val="nil"/>
              <w:bottom w:val="single" w:sz="12" w:space="0" w:color="000000"/>
              <w:right w:val="single" w:sz="12" w:space="0" w:color="000000"/>
            </w:tcBorders>
            <w:shd w:val="clear" w:color="auto" w:fill="auto"/>
            <w:noWrap/>
            <w:vAlign w:val="center"/>
            <w:hideMark/>
          </w:tcPr>
          <w:p w:rsidR="00DE1809" w:rsidRPr="00DE1809" w:rsidRDefault="00DE1809" w:rsidP="00DE1809">
            <w:pPr>
              <w:spacing w:after="0" w:line="240" w:lineRule="auto"/>
              <w:jc w:val="right"/>
              <w:rPr>
                <w:rFonts w:ascii="Arial" w:eastAsia="Times New Roman" w:hAnsi="Arial" w:cs="Arial"/>
                <w:color w:val="000000"/>
                <w:sz w:val="18"/>
                <w:szCs w:val="18"/>
              </w:rPr>
            </w:pPr>
            <w:r w:rsidRPr="00DE1809">
              <w:rPr>
                <w:rFonts w:ascii="Arial" w:eastAsia="Times New Roman" w:hAnsi="Arial" w:cs="Arial"/>
                <w:color w:val="000000"/>
                <w:sz w:val="18"/>
                <w:szCs w:val="18"/>
              </w:rPr>
              <w:t>20,103,300</w:t>
            </w:r>
          </w:p>
        </w:tc>
      </w:tr>
      <w:tr w:rsidR="00A8056B" w:rsidRPr="00DE1809" w:rsidTr="00D927E7">
        <w:trPr>
          <w:trHeight w:val="315"/>
          <w:jc w:val="center"/>
        </w:trPr>
        <w:tc>
          <w:tcPr>
            <w:tcW w:w="5395" w:type="dxa"/>
            <w:gridSpan w:val="4"/>
            <w:tcBorders>
              <w:top w:val="single" w:sz="12" w:space="0" w:color="000000"/>
            </w:tcBorders>
            <w:shd w:val="clear" w:color="auto" w:fill="auto"/>
            <w:vAlign w:val="center"/>
          </w:tcPr>
          <w:p w:rsidR="00A8056B" w:rsidRPr="00DE1809" w:rsidRDefault="00A8056B" w:rsidP="00A8056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Source: SLID 2009 PUMF</w:t>
            </w:r>
          </w:p>
        </w:tc>
      </w:tr>
    </w:tbl>
    <w:p w:rsidR="003B3222" w:rsidRDefault="003B3222" w:rsidP="00A8056B"/>
    <w:p w:rsidR="00D91FED" w:rsidRPr="00D91FED" w:rsidRDefault="00A8056B" w:rsidP="00D91FED">
      <w:pPr>
        <w:spacing w:after="0"/>
        <w:rPr>
          <w:i/>
        </w:rPr>
      </w:pPr>
      <w:r w:rsidRPr="00D91FED">
        <w:rPr>
          <w:i/>
        </w:rPr>
        <w:t xml:space="preserve">Interpretation: </w:t>
      </w:r>
    </w:p>
    <w:p w:rsidR="00D91FED" w:rsidRDefault="00A8056B" w:rsidP="00A8056B">
      <w:r>
        <w:t xml:space="preserve">The </w:t>
      </w:r>
      <w:r w:rsidR="00806DBF">
        <w:t>‘</w:t>
      </w:r>
      <w:r>
        <w:t>Total</w:t>
      </w:r>
      <w:r w:rsidR="00806DBF">
        <w:t>’</w:t>
      </w:r>
      <w:r>
        <w:t xml:space="preserve"> column </w:t>
      </w:r>
      <w:r w:rsidR="00522706">
        <w:t xml:space="preserve">for the rows under ‘All incomes’ </w:t>
      </w:r>
      <w:r w:rsidR="00047842">
        <w:t xml:space="preserve">on Appendix Table 6 </w:t>
      </w:r>
      <w:r>
        <w:t xml:space="preserve">shows </w:t>
      </w:r>
      <w:r w:rsidR="00E56319">
        <w:t xml:space="preserve">that about a quarter </w:t>
      </w:r>
      <w:r w:rsidR="00387E30">
        <w:t xml:space="preserve">(23.6%) </w:t>
      </w:r>
      <w:r w:rsidR="00E56319">
        <w:t xml:space="preserve">of </w:t>
      </w:r>
      <w:r w:rsidR="00806DBF">
        <w:t xml:space="preserve">working-age </w:t>
      </w:r>
      <w:r>
        <w:t xml:space="preserve">people </w:t>
      </w:r>
      <w:r w:rsidR="0005627A">
        <w:t>have disabilities</w:t>
      </w:r>
      <w:r w:rsidR="00522706">
        <w:t xml:space="preserve">. The ‘Social assistance in 2009? – Yes’ column </w:t>
      </w:r>
      <w:r w:rsidR="00E56319">
        <w:t xml:space="preserve">for those rows </w:t>
      </w:r>
      <w:r w:rsidR="00522706">
        <w:t xml:space="preserve">shows that, among social assistance recipients in 2009, </w:t>
      </w:r>
      <w:r w:rsidR="00E56319">
        <w:t>more than two-thirds (</w:t>
      </w:r>
      <w:r w:rsidR="00522706">
        <w:t>68%</w:t>
      </w:r>
      <w:r w:rsidR="00E56319">
        <w:t>)</w:t>
      </w:r>
      <w:r w:rsidR="00522706">
        <w:t xml:space="preserve"> had disabilities.</w:t>
      </w:r>
      <w:r w:rsidR="00D91FED">
        <w:t xml:space="preserve"> Among those who did not receive social assistance, only 21% had disabilities. </w:t>
      </w:r>
      <w:r w:rsidR="00E56319">
        <w:t xml:space="preserve">People with disabilities, then, are nearly three </w:t>
      </w:r>
      <w:r w:rsidR="005D2EC9">
        <w:t xml:space="preserve">(2.9) times </w:t>
      </w:r>
      <w:r w:rsidR="00E56319">
        <w:t xml:space="preserve">more likely to be found among </w:t>
      </w:r>
      <w:r w:rsidR="00237C6C">
        <w:t xml:space="preserve">working-age </w:t>
      </w:r>
      <w:r w:rsidR="00E56319">
        <w:t>social assistance recipients than among the working-age population</w:t>
      </w:r>
      <w:r w:rsidR="00237C6C">
        <w:t xml:space="preserve"> </w:t>
      </w:r>
      <w:r w:rsidR="00387E30">
        <w:t>overall</w:t>
      </w:r>
      <w:r w:rsidR="00237C6C">
        <w:t>. Another way to say this is that social assistance programs serve mainly people with some level of disability.</w:t>
      </w:r>
    </w:p>
    <w:p w:rsidR="00522706" w:rsidRDefault="00D91FED" w:rsidP="00A8056B">
      <w:r>
        <w:t>The rows below ‘All incomes’ provide further details for people with incomes below and at or above the L</w:t>
      </w:r>
      <w:r w:rsidR="00C71A77">
        <w:t>ICO.</w:t>
      </w:r>
      <w:r>
        <w:t xml:space="preserve"> Essentially those rows show that people with disabilities </w:t>
      </w:r>
      <w:r w:rsidR="005D2EC9">
        <w:t xml:space="preserve">make up most people who receive social assistance, regardless of whether people have incomes below or above the LICO. </w:t>
      </w:r>
      <w:r w:rsidR="00387E30">
        <w:t xml:space="preserve">The vast majority of </w:t>
      </w:r>
      <w:r w:rsidR="00387E30" w:rsidRPr="001022B4">
        <w:rPr>
          <w:i/>
        </w:rPr>
        <w:t>poor</w:t>
      </w:r>
      <w:r w:rsidR="00387E30">
        <w:t xml:space="preserve"> social assistance recipients</w:t>
      </w:r>
      <w:r w:rsidR="001022B4">
        <w:t xml:space="preserve">, however (74.7%), </w:t>
      </w:r>
      <w:r w:rsidR="00C805A8">
        <w:t>are people with disabilities.</w:t>
      </w:r>
    </w:p>
    <w:p w:rsidR="00522706" w:rsidRDefault="00522706" w:rsidP="00A8056B"/>
    <w:p w:rsidR="00681EB8" w:rsidRDefault="00F13584" w:rsidP="002B6133">
      <w:pPr>
        <w:pStyle w:val="Heading1"/>
      </w:pPr>
      <w:bookmarkStart w:id="79" w:name="_Toc361342921"/>
      <w:r>
        <w:lastRenderedPageBreak/>
        <w:t>References</w:t>
      </w:r>
      <w:bookmarkEnd w:id="79"/>
    </w:p>
    <w:p w:rsidR="00474C78" w:rsidRDefault="00474C78" w:rsidP="00F13584">
      <w:pPr>
        <w:pStyle w:val="EndnoteText"/>
        <w:ind w:left="720" w:hanging="720"/>
        <w:rPr>
          <w:sz w:val="24"/>
          <w:szCs w:val="24"/>
        </w:rPr>
      </w:pPr>
    </w:p>
    <w:p w:rsidR="009472B7" w:rsidRDefault="009472B7" w:rsidP="009472B7">
      <w:pPr>
        <w:pStyle w:val="EndnoteText"/>
        <w:ind w:left="720" w:hanging="720"/>
        <w:rPr>
          <w:sz w:val="24"/>
          <w:szCs w:val="24"/>
        </w:rPr>
      </w:pPr>
      <w:r>
        <w:rPr>
          <w:sz w:val="24"/>
          <w:szCs w:val="24"/>
        </w:rPr>
        <w:t xml:space="preserve">Alberta Human Services. (2012). </w:t>
      </w:r>
      <w:r w:rsidRPr="009472B7">
        <w:rPr>
          <w:i/>
          <w:sz w:val="24"/>
          <w:szCs w:val="24"/>
        </w:rPr>
        <w:t xml:space="preserve">AISH Announcements. Government increases AISH rate - April 1, 2012. </w:t>
      </w:r>
      <w:r>
        <w:rPr>
          <w:sz w:val="24"/>
          <w:szCs w:val="24"/>
        </w:rPr>
        <w:t xml:space="preserve">Retrieved from </w:t>
      </w:r>
      <w:hyperlink r:id="rId62" w:history="1">
        <w:r w:rsidR="00985963" w:rsidRPr="00C64AD5">
          <w:rPr>
            <w:rStyle w:val="Hyperlink"/>
            <w:sz w:val="24"/>
            <w:szCs w:val="24"/>
          </w:rPr>
          <w:t>http://humanservices.alberta.ca/disability-services/aish-announcements.html</w:t>
        </w:r>
      </w:hyperlink>
    </w:p>
    <w:p w:rsidR="00985963" w:rsidRDefault="00985963" w:rsidP="009472B7">
      <w:pPr>
        <w:pStyle w:val="EndnoteText"/>
        <w:ind w:left="720" w:hanging="720"/>
        <w:rPr>
          <w:sz w:val="24"/>
          <w:szCs w:val="24"/>
        </w:rPr>
      </w:pPr>
      <w:r>
        <w:rPr>
          <w:sz w:val="24"/>
          <w:szCs w:val="24"/>
        </w:rPr>
        <w:t xml:space="preserve">British Columbia. </w:t>
      </w:r>
      <w:r w:rsidRPr="00985963">
        <w:rPr>
          <w:sz w:val="24"/>
          <w:szCs w:val="24"/>
        </w:rPr>
        <w:t>Ministry of Social Development and Social Innovation</w:t>
      </w:r>
      <w:r>
        <w:rPr>
          <w:sz w:val="24"/>
          <w:szCs w:val="24"/>
        </w:rPr>
        <w:t xml:space="preserve">. (2010). </w:t>
      </w:r>
      <w:r w:rsidRPr="00985963">
        <w:rPr>
          <w:i/>
          <w:sz w:val="24"/>
          <w:szCs w:val="24"/>
        </w:rPr>
        <w:t>Employment and Assistance for Persons with Disabilities Act.</w:t>
      </w:r>
      <w:r>
        <w:rPr>
          <w:sz w:val="24"/>
          <w:szCs w:val="24"/>
        </w:rPr>
        <w:t xml:space="preserve"> Retrieved from </w:t>
      </w:r>
      <w:hyperlink r:id="rId63" w:history="1">
        <w:r w:rsidR="008F1502" w:rsidRPr="00A421DF">
          <w:rPr>
            <w:rStyle w:val="Hyperlink"/>
            <w:sz w:val="24"/>
            <w:szCs w:val="24"/>
          </w:rPr>
          <w:t>http://www.eia.gov.bc.ca/publicat/VOL1/pdf/3-4pol.pdf</w:t>
        </w:r>
      </w:hyperlink>
    </w:p>
    <w:p w:rsidR="008F1502" w:rsidRDefault="008F1502" w:rsidP="009472B7">
      <w:pPr>
        <w:pStyle w:val="EndnoteText"/>
        <w:ind w:left="720" w:hanging="720"/>
        <w:rPr>
          <w:sz w:val="24"/>
          <w:szCs w:val="24"/>
        </w:rPr>
      </w:pPr>
      <w:r w:rsidRPr="008F1502">
        <w:rPr>
          <w:sz w:val="24"/>
          <w:szCs w:val="24"/>
        </w:rPr>
        <w:t xml:space="preserve">Canada Revenue Agency. (2013a). </w:t>
      </w:r>
      <w:r w:rsidRPr="008F1502">
        <w:rPr>
          <w:i/>
          <w:sz w:val="24"/>
          <w:szCs w:val="24"/>
        </w:rPr>
        <w:t xml:space="preserve">Canada Child Benefits including related federal, provincial and territorial programs for the period from July 2012 to June 2013. </w:t>
      </w:r>
      <w:r w:rsidRPr="008F1502">
        <w:rPr>
          <w:sz w:val="24"/>
          <w:szCs w:val="24"/>
        </w:rPr>
        <w:t>Ottawa: Author.</w:t>
      </w:r>
    </w:p>
    <w:p w:rsidR="00C95EB1" w:rsidRPr="00C95EB1" w:rsidRDefault="00C95EB1" w:rsidP="009472B7">
      <w:pPr>
        <w:pStyle w:val="EndnoteText"/>
        <w:ind w:left="720" w:hanging="720"/>
        <w:rPr>
          <w:sz w:val="24"/>
          <w:szCs w:val="24"/>
        </w:rPr>
      </w:pPr>
      <w:r w:rsidRPr="00C95EB1">
        <w:rPr>
          <w:sz w:val="24"/>
          <w:szCs w:val="24"/>
        </w:rPr>
        <w:t xml:space="preserve">Canada Revenue Agency. (2013b). </w:t>
      </w:r>
      <w:r w:rsidRPr="00C95EB1">
        <w:rPr>
          <w:i/>
          <w:sz w:val="24"/>
          <w:szCs w:val="24"/>
        </w:rPr>
        <w:t>WITB: Application and eligibility.</w:t>
      </w:r>
      <w:r w:rsidRPr="00C95EB1">
        <w:rPr>
          <w:sz w:val="24"/>
          <w:szCs w:val="24"/>
        </w:rPr>
        <w:t xml:space="preserve"> Retrieved from </w:t>
      </w:r>
      <w:hyperlink r:id="rId64" w:history="1">
        <w:r w:rsidRPr="00C95EB1">
          <w:rPr>
            <w:rStyle w:val="Hyperlink"/>
            <w:sz w:val="24"/>
            <w:szCs w:val="24"/>
          </w:rPr>
          <w:t>http://www.cra-arc.gc.ca/bnfts/wtb/fq_qlfyng-eng.html</w:t>
        </w:r>
      </w:hyperlink>
    </w:p>
    <w:p w:rsidR="00C95EB1" w:rsidRPr="00C95EB1" w:rsidRDefault="00C95EB1" w:rsidP="00C95EB1">
      <w:pPr>
        <w:pStyle w:val="EndnoteText"/>
        <w:ind w:left="720" w:hanging="720"/>
        <w:rPr>
          <w:sz w:val="24"/>
          <w:szCs w:val="24"/>
        </w:rPr>
      </w:pPr>
      <w:r w:rsidRPr="00C95EB1">
        <w:rPr>
          <w:sz w:val="24"/>
          <w:szCs w:val="24"/>
        </w:rPr>
        <w:t xml:space="preserve">Canada Revenue Agency. (2013c). </w:t>
      </w:r>
      <w:r w:rsidRPr="00C95EB1">
        <w:rPr>
          <w:i/>
          <w:sz w:val="24"/>
          <w:szCs w:val="24"/>
        </w:rPr>
        <w:t>WITB: Calculation and advance payments.</w:t>
      </w:r>
      <w:r w:rsidRPr="00C95EB1">
        <w:rPr>
          <w:sz w:val="24"/>
          <w:szCs w:val="24"/>
        </w:rPr>
        <w:t xml:space="preserve"> Retrieved from </w:t>
      </w:r>
      <w:hyperlink r:id="rId65" w:history="1">
        <w:r w:rsidRPr="00C95EB1">
          <w:rPr>
            <w:rStyle w:val="Hyperlink"/>
            <w:sz w:val="24"/>
            <w:szCs w:val="24"/>
          </w:rPr>
          <w:t>http://www.cra-arc.gc.ca/bnfts/wtb/fq_pymnts-eng.html</w:t>
        </w:r>
      </w:hyperlink>
    </w:p>
    <w:p w:rsidR="00C95EB1" w:rsidRPr="00C95EB1" w:rsidRDefault="00C95EB1" w:rsidP="00C95EB1">
      <w:pPr>
        <w:pStyle w:val="EndnoteText"/>
        <w:ind w:left="720" w:hanging="720"/>
        <w:rPr>
          <w:sz w:val="24"/>
          <w:szCs w:val="24"/>
        </w:rPr>
      </w:pPr>
      <w:r w:rsidRPr="00C95EB1">
        <w:rPr>
          <w:sz w:val="24"/>
          <w:szCs w:val="24"/>
        </w:rPr>
        <w:t xml:space="preserve">Canada Revenue Agency. (2013d). </w:t>
      </w:r>
      <w:r w:rsidRPr="00C95EB1">
        <w:rPr>
          <w:i/>
          <w:sz w:val="24"/>
          <w:szCs w:val="24"/>
        </w:rPr>
        <w:t xml:space="preserve">Goods and services tax/Harmonized sales tax (GST/HST) credit. </w:t>
      </w:r>
      <w:r w:rsidRPr="00C95EB1">
        <w:rPr>
          <w:sz w:val="24"/>
          <w:szCs w:val="24"/>
        </w:rPr>
        <w:t>Retrieved from http://www.cra-arc.gc.ca/gsthstcredit/</w:t>
      </w:r>
    </w:p>
    <w:p w:rsidR="00474C78" w:rsidRDefault="00474C78" w:rsidP="00F13584">
      <w:pPr>
        <w:pStyle w:val="EndnoteText"/>
        <w:ind w:left="720" w:hanging="720"/>
        <w:rPr>
          <w:sz w:val="24"/>
          <w:szCs w:val="24"/>
        </w:rPr>
      </w:pPr>
      <w:r w:rsidRPr="00474C78">
        <w:rPr>
          <w:sz w:val="24"/>
          <w:szCs w:val="24"/>
        </w:rPr>
        <w:t xml:space="preserve">Chouinard, V. &amp; Crooks, V.  (2005). 'Because they have all the power and I have none': state restructuring of income and employment supports and disabled women's lives in Ontario, Canada. </w:t>
      </w:r>
      <w:r w:rsidRPr="00474C78">
        <w:rPr>
          <w:i/>
          <w:sz w:val="24"/>
          <w:szCs w:val="24"/>
        </w:rPr>
        <w:t>Disability &amp; Societ</w:t>
      </w:r>
      <w:r w:rsidRPr="008D5C92">
        <w:rPr>
          <w:i/>
          <w:sz w:val="24"/>
          <w:szCs w:val="24"/>
        </w:rPr>
        <w:t>y, 20</w:t>
      </w:r>
      <w:r w:rsidRPr="00474C78">
        <w:rPr>
          <w:sz w:val="24"/>
          <w:szCs w:val="24"/>
        </w:rPr>
        <w:t>(1), pp. 19–32.</w:t>
      </w:r>
    </w:p>
    <w:p w:rsidR="002A1F32" w:rsidRDefault="002A1F32" w:rsidP="00F13584">
      <w:pPr>
        <w:pStyle w:val="EndnoteText"/>
        <w:ind w:left="720" w:hanging="720"/>
        <w:rPr>
          <w:sz w:val="24"/>
          <w:szCs w:val="24"/>
        </w:rPr>
      </w:pPr>
      <w:r>
        <w:rPr>
          <w:sz w:val="24"/>
          <w:szCs w:val="24"/>
        </w:rPr>
        <w:t xml:space="preserve">Crawford, C. (2004). </w:t>
      </w:r>
      <w:r w:rsidRPr="002A1F32">
        <w:rPr>
          <w:i/>
          <w:sz w:val="24"/>
          <w:szCs w:val="24"/>
        </w:rPr>
        <w:t xml:space="preserve">Improving the odds: Disability, employment and public programs in Canada. </w:t>
      </w:r>
      <w:r>
        <w:rPr>
          <w:sz w:val="24"/>
          <w:szCs w:val="24"/>
        </w:rPr>
        <w:t>Toronto: Roeher Institute.</w:t>
      </w:r>
    </w:p>
    <w:p w:rsidR="00F13584" w:rsidRDefault="00F13584" w:rsidP="00F13584">
      <w:pPr>
        <w:pStyle w:val="EndnoteText"/>
        <w:ind w:left="720" w:hanging="720"/>
        <w:rPr>
          <w:rStyle w:val="Hyperlink"/>
          <w:sz w:val="24"/>
          <w:szCs w:val="24"/>
        </w:rPr>
      </w:pPr>
      <w:r w:rsidRPr="00734DC8">
        <w:rPr>
          <w:sz w:val="24"/>
          <w:szCs w:val="24"/>
        </w:rPr>
        <w:t xml:space="preserve">Crawford, C. (2011). </w:t>
      </w:r>
      <w:r w:rsidRPr="00734DC8">
        <w:rPr>
          <w:i/>
          <w:sz w:val="24"/>
          <w:szCs w:val="24"/>
        </w:rPr>
        <w:t xml:space="preserve">Disabling poverty and enabling citizenship: Understanding the poverty and exclusion of Canadians with disabilities. </w:t>
      </w:r>
      <w:r w:rsidRPr="00734DC8">
        <w:rPr>
          <w:sz w:val="24"/>
          <w:szCs w:val="24"/>
        </w:rPr>
        <w:t xml:space="preserve">Winnipeg: Council of Canadians with Disabilities. Retrieved from </w:t>
      </w:r>
      <w:hyperlink r:id="rId66" w:history="1">
        <w:r w:rsidRPr="001008F0">
          <w:rPr>
            <w:rStyle w:val="Hyperlink"/>
            <w:sz w:val="24"/>
            <w:szCs w:val="24"/>
          </w:rPr>
          <w:t>http://www.ccdonline.ca/en/socialpolicy/poverty-citizenship/demographic-profile/understanding-poverty-exclusion</w:t>
        </w:r>
      </w:hyperlink>
    </w:p>
    <w:p w:rsidR="00151144" w:rsidRPr="00151144" w:rsidRDefault="00151144" w:rsidP="00F13584">
      <w:pPr>
        <w:pStyle w:val="EndnoteText"/>
        <w:ind w:left="720" w:hanging="720"/>
        <w:rPr>
          <w:rStyle w:val="Hyperlink"/>
          <w:sz w:val="24"/>
          <w:szCs w:val="24"/>
        </w:rPr>
      </w:pPr>
      <w:r w:rsidRPr="00151144">
        <w:rPr>
          <w:sz w:val="24"/>
          <w:szCs w:val="24"/>
        </w:rPr>
        <w:t>Federal-Provincial-Territorial Directors of Income Support. (2010).</w:t>
      </w:r>
      <w:r w:rsidRPr="00151144">
        <w:rPr>
          <w:i/>
          <w:sz w:val="24"/>
          <w:szCs w:val="24"/>
        </w:rPr>
        <w:t xml:space="preserve"> Social Assistance Statistical Report: 2008. </w:t>
      </w:r>
      <w:r w:rsidRPr="00151144">
        <w:rPr>
          <w:sz w:val="24"/>
          <w:szCs w:val="24"/>
        </w:rPr>
        <w:t>Ottawa: Authors.</w:t>
      </w:r>
    </w:p>
    <w:p w:rsidR="00474C78" w:rsidRDefault="00474C78" w:rsidP="00F13584">
      <w:pPr>
        <w:pStyle w:val="EndnoteText"/>
        <w:ind w:left="720" w:hanging="720"/>
        <w:rPr>
          <w:sz w:val="24"/>
          <w:szCs w:val="24"/>
        </w:rPr>
      </w:pPr>
      <w:r w:rsidRPr="00474C78">
        <w:rPr>
          <w:sz w:val="24"/>
          <w:szCs w:val="24"/>
        </w:rPr>
        <w:t xml:space="preserve">Frazee, C. Gilmour, J., &amp; Mykitiuk, R. (2006). Now you see her, now you don’t: How law shapes disabled women’s experience of exposure, surveillance and assessment in the clinical encounter. In D. Pothier and R. Devlin (Eds.) </w:t>
      </w:r>
      <w:r w:rsidRPr="008D36B9">
        <w:rPr>
          <w:i/>
          <w:sz w:val="24"/>
          <w:szCs w:val="24"/>
        </w:rPr>
        <w:t xml:space="preserve">Critical disability </w:t>
      </w:r>
      <w:r w:rsidRPr="008D36B9">
        <w:rPr>
          <w:i/>
          <w:sz w:val="24"/>
          <w:szCs w:val="24"/>
        </w:rPr>
        <w:lastRenderedPageBreak/>
        <w:t xml:space="preserve">theory: Essays in philosophy, politics, policy and law </w:t>
      </w:r>
      <w:r w:rsidRPr="00474C78">
        <w:rPr>
          <w:sz w:val="24"/>
          <w:szCs w:val="24"/>
        </w:rPr>
        <w:t>(pp. 223–246). Vancouver and Toronto: UBC Press.</w:t>
      </w:r>
    </w:p>
    <w:p w:rsidR="008D5C92" w:rsidRDefault="008D5C92" w:rsidP="008D5C92">
      <w:pPr>
        <w:ind w:left="360" w:hanging="360"/>
      </w:pPr>
      <w:r>
        <w:t xml:space="preserve">Hogansen, J.M., K. Powers, S. Geenen, E. Gill-Kashiwabara, and L.E. Powers. 2008. “Transition Goals and Experiences of Females with Disabilities: Youth, Parents and Professionals.” </w:t>
      </w:r>
      <w:r>
        <w:rPr>
          <w:i/>
          <w:iCs/>
        </w:rPr>
        <w:t>Exceptional Childre</w:t>
      </w:r>
      <w:r w:rsidRPr="008D5C92">
        <w:rPr>
          <w:iCs/>
        </w:rPr>
        <w:t>n</w:t>
      </w:r>
      <w:r w:rsidRPr="008D5C92">
        <w:rPr>
          <w:i/>
          <w:iCs/>
        </w:rPr>
        <w:t xml:space="preserve">, </w:t>
      </w:r>
      <w:r w:rsidRPr="008D5C92">
        <w:rPr>
          <w:i/>
        </w:rPr>
        <w:t>74</w:t>
      </w:r>
      <w:r>
        <w:t>(2), 215-234.</w:t>
      </w:r>
    </w:p>
    <w:p w:rsidR="00A74BEE" w:rsidRDefault="00A74BEE" w:rsidP="008D5C92">
      <w:pPr>
        <w:ind w:left="360" w:hanging="360"/>
      </w:pPr>
      <w:r>
        <w:t xml:space="preserve">Lankin, F., &amp; Sheikh, M. A. (2012). </w:t>
      </w:r>
      <w:r w:rsidRPr="00A74BEE">
        <w:rPr>
          <w:i/>
        </w:rPr>
        <w:t>Brighter Prospects: Transforming Social Assistance in Ontario.</w:t>
      </w:r>
      <w:r>
        <w:t xml:space="preserve"> Toronto: Ministry of Community and Social Services.</w:t>
      </w:r>
    </w:p>
    <w:p w:rsidR="009A0569" w:rsidRPr="00734DC8" w:rsidRDefault="009A0569" w:rsidP="00F13584">
      <w:pPr>
        <w:pStyle w:val="EndnoteText"/>
        <w:ind w:left="720" w:hanging="720"/>
        <w:rPr>
          <w:sz w:val="24"/>
          <w:szCs w:val="24"/>
        </w:rPr>
      </w:pPr>
      <w:r>
        <w:rPr>
          <w:sz w:val="24"/>
          <w:szCs w:val="24"/>
        </w:rPr>
        <w:t xml:space="preserve">Lightman, E., Vick, A., Herd, D., &amp; Mitchell, A. (2009). </w:t>
      </w:r>
      <w:r w:rsidRPr="009A0569">
        <w:rPr>
          <w:sz w:val="24"/>
          <w:szCs w:val="24"/>
        </w:rPr>
        <w:t>'Not disabled enough': Episodic disabilities and the Ontario Disability Support Program</w:t>
      </w:r>
      <w:r>
        <w:rPr>
          <w:sz w:val="24"/>
          <w:szCs w:val="24"/>
        </w:rPr>
        <w:t xml:space="preserve">. </w:t>
      </w:r>
      <w:r w:rsidRPr="009A0569">
        <w:rPr>
          <w:i/>
          <w:sz w:val="24"/>
          <w:szCs w:val="24"/>
        </w:rPr>
        <w:t>Disability Studies Quarterly, 29</w:t>
      </w:r>
      <w:r>
        <w:rPr>
          <w:sz w:val="24"/>
          <w:szCs w:val="24"/>
        </w:rPr>
        <w:t xml:space="preserve">(3). Retrieved from </w:t>
      </w:r>
      <w:hyperlink r:id="rId67" w:history="1">
        <w:r w:rsidRPr="003F4BC9">
          <w:rPr>
            <w:rStyle w:val="Hyperlink"/>
            <w:sz w:val="24"/>
            <w:szCs w:val="24"/>
          </w:rPr>
          <w:t>http://dsq-sds.org/article/view/932</w:t>
        </w:r>
      </w:hyperlink>
      <w:r>
        <w:rPr>
          <w:sz w:val="24"/>
          <w:szCs w:val="24"/>
        </w:rPr>
        <w:t xml:space="preserve">. </w:t>
      </w:r>
    </w:p>
    <w:p w:rsidR="00F13584" w:rsidRDefault="00F13584" w:rsidP="00F13584">
      <w:pPr>
        <w:pStyle w:val="EndnoteText"/>
        <w:ind w:left="720" w:hanging="720"/>
        <w:rPr>
          <w:sz w:val="24"/>
          <w:szCs w:val="24"/>
        </w:rPr>
      </w:pPr>
      <w:r w:rsidRPr="00734DC8">
        <w:rPr>
          <w:sz w:val="24"/>
          <w:szCs w:val="24"/>
        </w:rPr>
        <w:t xml:space="preserve">National Council of Welfare. (2010). </w:t>
      </w:r>
      <w:r w:rsidRPr="00734DC8">
        <w:rPr>
          <w:i/>
          <w:sz w:val="24"/>
          <w:szCs w:val="24"/>
        </w:rPr>
        <w:t>Welfare incomes 2009.</w:t>
      </w:r>
      <w:r w:rsidRPr="00734DC8">
        <w:rPr>
          <w:sz w:val="24"/>
          <w:szCs w:val="24"/>
        </w:rPr>
        <w:t xml:space="preserve"> Ottawa: Her Majesty the Queen in Right of Canada.</w:t>
      </w:r>
    </w:p>
    <w:p w:rsidR="00C56F97" w:rsidRDefault="00C56F97" w:rsidP="00C56F97">
      <w:pPr>
        <w:pStyle w:val="EndnoteText"/>
        <w:ind w:left="720" w:hanging="720"/>
        <w:rPr>
          <w:sz w:val="24"/>
          <w:szCs w:val="24"/>
        </w:rPr>
      </w:pPr>
      <w:r>
        <w:rPr>
          <w:sz w:val="24"/>
          <w:szCs w:val="24"/>
        </w:rPr>
        <w:t xml:space="preserve">Ontario. Ministry of Community and Social Services. (2013a). </w:t>
      </w:r>
      <w:r w:rsidR="00536AED" w:rsidRPr="000063CA">
        <w:rPr>
          <w:i/>
          <w:sz w:val="24"/>
          <w:szCs w:val="24"/>
        </w:rPr>
        <w:t>Ontario social assistance monthly statistical report – Ontario Works, March 2013.</w:t>
      </w:r>
      <w:r w:rsidR="00536AED">
        <w:rPr>
          <w:sz w:val="24"/>
          <w:szCs w:val="24"/>
        </w:rPr>
        <w:t xml:space="preserve"> Retrieved from </w:t>
      </w:r>
      <w:hyperlink r:id="rId68" w:history="1">
        <w:r w:rsidR="00536AED" w:rsidRPr="003F4BC9">
          <w:rPr>
            <w:rStyle w:val="Hyperlink"/>
            <w:sz w:val="24"/>
            <w:szCs w:val="24"/>
          </w:rPr>
          <w:t>http://www.mcss.gov.on.ca/documents/en/mcss/social/reports/OW_EN_2013-03.pdf</w:t>
        </w:r>
      </w:hyperlink>
    </w:p>
    <w:p w:rsidR="00536AED" w:rsidRPr="00734DC8" w:rsidRDefault="00536AED" w:rsidP="00C56F97">
      <w:pPr>
        <w:pStyle w:val="EndnoteText"/>
        <w:ind w:left="720" w:hanging="720"/>
        <w:rPr>
          <w:sz w:val="24"/>
          <w:szCs w:val="24"/>
        </w:rPr>
      </w:pPr>
      <w:r>
        <w:rPr>
          <w:sz w:val="24"/>
          <w:szCs w:val="24"/>
        </w:rPr>
        <w:t xml:space="preserve">Ontario. Ministry of Community and Social Services. (2013b). </w:t>
      </w:r>
      <w:r w:rsidRPr="000063CA">
        <w:rPr>
          <w:i/>
          <w:sz w:val="24"/>
          <w:szCs w:val="24"/>
        </w:rPr>
        <w:t xml:space="preserve">Ontario social assistance monthly statistical report – Ontario Disability Support Program, March 2013. </w:t>
      </w:r>
      <w:r>
        <w:rPr>
          <w:sz w:val="24"/>
          <w:szCs w:val="24"/>
        </w:rPr>
        <w:t xml:space="preserve">Retrieved from </w:t>
      </w:r>
      <w:r w:rsidR="00CE55B3" w:rsidRPr="00CE55B3">
        <w:rPr>
          <w:sz w:val="24"/>
          <w:szCs w:val="24"/>
        </w:rPr>
        <w:t>http://www.mcss.gov.on.ca/documents/en/mcss/social/reports/ODSP_EN_2013-03.pdf</w:t>
      </w:r>
    </w:p>
    <w:p w:rsidR="00F13584" w:rsidRDefault="00F13584" w:rsidP="00F13584">
      <w:pPr>
        <w:ind w:left="720" w:hanging="720"/>
        <w:rPr>
          <w:rStyle w:val="Hyperlink"/>
        </w:rPr>
      </w:pPr>
      <w:r w:rsidRPr="00734DC8">
        <w:t>Régie des rentes du Québec. (</w:t>
      </w:r>
      <w:r w:rsidR="00151144">
        <w:t>2013a</w:t>
      </w:r>
      <w:r w:rsidRPr="00734DC8">
        <w:t xml:space="preserve">). </w:t>
      </w:r>
      <w:r w:rsidRPr="00734DC8">
        <w:rPr>
          <w:i/>
        </w:rPr>
        <w:t>Eligibility for a disability pension.</w:t>
      </w:r>
      <w:r w:rsidRPr="00734DC8">
        <w:t xml:space="preserve"> Retrieved from </w:t>
      </w:r>
      <w:hyperlink r:id="rId69" w:history="1">
        <w:r w:rsidRPr="001008F0">
          <w:rPr>
            <w:rStyle w:val="Hyperlink"/>
          </w:rPr>
          <w:t>http://www.rrq.gouv.qc.ca/en/programmes/regime_rentes/prestations_invalidite/Pages/admissibilite_ri.aspx</w:t>
        </w:r>
      </w:hyperlink>
    </w:p>
    <w:p w:rsidR="00151144" w:rsidRDefault="00151144" w:rsidP="00F13584">
      <w:pPr>
        <w:ind w:left="720" w:hanging="720"/>
        <w:rPr>
          <w:rStyle w:val="Hyperlink"/>
        </w:rPr>
      </w:pPr>
      <w:r>
        <w:t>Régie des rentes Québec. (</w:t>
      </w:r>
      <w:r w:rsidRPr="00997EDC">
        <w:t>2013</w:t>
      </w:r>
      <w:r>
        <w:t xml:space="preserve">b). </w:t>
      </w:r>
      <w:r w:rsidRPr="00997EDC">
        <w:rPr>
          <w:i/>
        </w:rPr>
        <w:t xml:space="preserve">The Québec Pension Plan. </w:t>
      </w:r>
      <w:r>
        <w:t xml:space="preserve">Retrieved from </w:t>
      </w:r>
      <w:r w:rsidRPr="00F2747D">
        <w:t>http://www.rrq.gouv.qc.ca/en/programmes/regime_rentes/Pages/regime_rentes.aspx</w:t>
      </w:r>
    </w:p>
    <w:p w:rsidR="008F1502" w:rsidRPr="008F1502" w:rsidRDefault="008F1502" w:rsidP="00E97C47">
      <w:pPr>
        <w:pStyle w:val="EndnoteText"/>
        <w:ind w:left="720" w:hanging="720"/>
        <w:rPr>
          <w:sz w:val="24"/>
          <w:szCs w:val="24"/>
        </w:rPr>
      </w:pPr>
      <w:r w:rsidRPr="008F1502">
        <w:rPr>
          <w:sz w:val="24"/>
          <w:szCs w:val="24"/>
        </w:rPr>
        <w:t xml:space="preserve">Service Canada. (2011). </w:t>
      </w:r>
      <w:r w:rsidRPr="008F1502">
        <w:rPr>
          <w:i/>
          <w:sz w:val="24"/>
          <w:szCs w:val="24"/>
        </w:rPr>
        <w:t xml:space="preserve">CPP Disability – Summary. </w:t>
      </w:r>
      <w:r w:rsidRPr="008F1502">
        <w:rPr>
          <w:sz w:val="24"/>
          <w:szCs w:val="24"/>
        </w:rPr>
        <w:t xml:space="preserve">Retrieved from </w:t>
      </w:r>
      <w:hyperlink r:id="rId70" w:history="1">
        <w:r w:rsidRPr="008F1502">
          <w:rPr>
            <w:rStyle w:val="Hyperlink"/>
            <w:sz w:val="24"/>
            <w:szCs w:val="24"/>
          </w:rPr>
          <w:t>http://www.servicecanada.gc.ca/eng/isp/cpp/summary.shtml</w:t>
        </w:r>
      </w:hyperlink>
    </w:p>
    <w:p w:rsidR="00F13584" w:rsidRDefault="00F13584" w:rsidP="00F13584">
      <w:pPr>
        <w:pStyle w:val="EndnoteText"/>
        <w:ind w:left="720" w:hanging="720"/>
        <w:rPr>
          <w:sz w:val="24"/>
          <w:szCs w:val="24"/>
        </w:rPr>
      </w:pPr>
      <w:r w:rsidRPr="00734DC8">
        <w:rPr>
          <w:sz w:val="24"/>
          <w:szCs w:val="24"/>
        </w:rPr>
        <w:t>Service Canada. (2013</w:t>
      </w:r>
      <w:r w:rsidR="008F1502">
        <w:rPr>
          <w:sz w:val="24"/>
          <w:szCs w:val="24"/>
        </w:rPr>
        <w:t>a</w:t>
      </w:r>
      <w:r w:rsidRPr="00734DC8">
        <w:rPr>
          <w:sz w:val="24"/>
          <w:szCs w:val="24"/>
        </w:rPr>
        <w:t xml:space="preserve">). </w:t>
      </w:r>
      <w:r w:rsidRPr="00734DC8">
        <w:rPr>
          <w:i/>
          <w:sz w:val="24"/>
          <w:szCs w:val="24"/>
        </w:rPr>
        <w:t xml:space="preserve">CPP Disability - Definition of 'Severe' and 'Prolonged’. </w:t>
      </w:r>
      <w:r w:rsidRPr="00734DC8">
        <w:rPr>
          <w:sz w:val="24"/>
          <w:szCs w:val="24"/>
        </w:rPr>
        <w:t xml:space="preserve">Retrieved from </w:t>
      </w:r>
      <w:hyperlink r:id="rId71" w:history="1">
        <w:r w:rsidRPr="00734DC8">
          <w:rPr>
            <w:rStyle w:val="Hyperlink"/>
            <w:sz w:val="24"/>
            <w:szCs w:val="24"/>
          </w:rPr>
          <w:t>http://www.servicecanada.gc.ca/eng/isp/cpp/severe.shtml</w:t>
        </w:r>
      </w:hyperlink>
      <w:r w:rsidRPr="00734DC8">
        <w:rPr>
          <w:sz w:val="24"/>
          <w:szCs w:val="24"/>
        </w:rPr>
        <w:t>.</w:t>
      </w:r>
    </w:p>
    <w:p w:rsidR="00E97C47" w:rsidRDefault="00E97C47" w:rsidP="00E97C47">
      <w:pPr>
        <w:pStyle w:val="EndnoteText"/>
        <w:ind w:left="720" w:hanging="720"/>
        <w:rPr>
          <w:sz w:val="24"/>
          <w:szCs w:val="24"/>
        </w:rPr>
      </w:pPr>
      <w:r w:rsidRPr="00E97C47">
        <w:rPr>
          <w:sz w:val="24"/>
          <w:szCs w:val="24"/>
        </w:rPr>
        <w:t xml:space="preserve">Service Canada. (2013b). </w:t>
      </w:r>
      <w:r w:rsidRPr="00E97C47">
        <w:rPr>
          <w:i/>
          <w:sz w:val="24"/>
          <w:szCs w:val="24"/>
        </w:rPr>
        <w:t xml:space="preserve">Deciding when to apply for your CPP retirement pension. </w:t>
      </w:r>
      <w:r w:rsidRPr="00E97C47">
        <w:rPr>
          <w:sz w:val="24"/>
          <w:szCs w:val="24"/>
        </w:rPr>
        <w:t xml:space="preserve">Retrieved from </w:t>
      </w:r>
      <w:hyperlink r:id="rId72" w:history="1">
        <w:r w:rsidRPr="00A421DF">
          <w:rPr>
            <w:rStyle w:val="Hyperlink"/>
            <w:sz w:val="24"/>
            <w:szCs w:val="24"/>
          </w:rPr>
          <w:t>http://www.servicecanada.gc.ca/eng/isp/pub/factsheets/cppretirement/when.shtml</w:t>
        </w:r>
      </w:hyperlink>
    </w:p>
    <w:p w:rsidR="00E97C47" w:rsidRPr="00E97C47" w:rsidRDefault="00E97C47" w:rsidP="00E97C47">
      <w:pPr>
        <w:pStyle w:val="EndnoteText"/>
        <w:ind w:left="720" w:hanging="720"/>
        <w:rPr>
          <w:sz w:val="24"/>
          <w:szCs w:val="24"/>
        </w:rPr>
      </w:pPr>
      <w:r w:rsidRPr="00E97C47">
        <w:rPr>
          <w:sz w:val="24"/>
          <w:szCs w:val="24"/>
        </w:rPr>
        <w:t xml:space="preserve">Service Canada. (2013c). </w:t>
      </w:r>
      <w:r w:rsidRPr="00E97C47">
        <w:rPr>
          <w:i/>
          <w:sz w:val="24"/>
          <w:szCs w:val="24"/>
        </w:rPr>
        <w:t xml:space="preserve">Overview of the Old Age Security Program. </w:t>
      </w:r>
      <w:r w:rsidRPr="00E97C47">
        <w:rPr>
          <w:sz w:val="24"/>
          <w:szCs w:val="24"/>
        </w:rPr>
        <w:t>Retrieved from http://www.servicecanada.gc.ca/eng/isp/oas/oasoverview.shtml</w:t>
      </w:r>
    </w:p>
    <w:p w:rsidR="00E97C47" w:rsidRPr="00E97C47" w:rsidRDefault="00E97C47" w:rsidP="00E97C47">
      <w:pPr>
        <w:pStyle w:val="EndnoteText"/>
        <w:ind w:left="720" w:hanging="720"/>
        <w:rPr>
          <w:sz w:val="24"/>
          <w:szCs w:val="24"/>
        </w:rPr>
      </w:pPr>
      <w:r w:rsidRPr="00E97C47">
        <w:rPr>
          <w:sz w:val="24"/>
          <w:szCs w:val="24"/>
        </w:rPr>
        <w:t xml:space="preserve">Service Canada. (2013d). </w:t>
      </w:r>
      <w:r w:rsidRPr="00E97C47">
        <w:rPr>
          <w:i/>
          <w:sz w:val="24"/>
          <w:szCs w:val="24"/>
        </w:rPr>
        <w:t>Employment Insurance.</w:t>
      </w:r>
      <w:r w:rsidRPr="00E97C47">
        <w:rPr>
          <w:sz w:val="24"/>
          <w:szCs w:val="24"/>
        </w:rPr>
        <w:t xml:space="preserve"> Retrieved from http://www.servicecanada.gc.ca/eng/sc/ei/index.shtml</w:t>
      </w:r>
    </w:p>
    <w:p w:rsidR="0081376F" w:rsidRDefault="0081376F" w:rsidP="0081376F">
      <w:pPr>
        <w:pStyle w:val="EndnoteText"/>
        <w:ind w:left="720" w:hanging="720"/>
        <w:rPr>
          <w:sz w:val="24"/>
          <w:szCs w:val="24"/>
        </w:rPr>
      </w:pPr>
      <w:r>
        <w:rPr>
          <w:sz w:val="24"/>
          <w:szCs w:val="24"/>
        </w:rPr>
        <w:t xml:space="preserve">Statistics Canada. (2007). </w:t>
      </w:r>
      <w:r w:rsidRPr="007704BB">
        <w:rPr>
          <w:i/>
          <w:sz w:val="24"/>
          <w:szCs w:val="24"/>
        </w:rPr>
        <w:t xml:space="preserve">Participation and Activity Limitation Survey 2006: </w:t>
      </w:r>
      <w:r>
        <w:rPr>
          <w:i/>
          <w:sz w:val="24"/>
          <w:szCs w:val="24"/>
        </w:rPr>
        <w:t>Tables</w:t>
      </w:r>
      <w:r w:rsidRPr="007704BB">
        <w:rPr>
          <w:i/>
          <w:sz w:val="24"/>
          <w:szCs w:val="24"/>
        </w:rPr>
        <w:t xml:space="preserve"> </w:t>
      </w:r>
      <w:r>
        <w:rPr>
          <w:sz w:val="24"/>
          <w:szCs w:val="24"/>
        </w:rPr>
        <w:t>Ottawa: Minister of Industry.</w:t>
      </w:r>
    </w:p>
    <w:p w:rsidR="007704BB" w:rsidRDefault="007704BB" w:rsidP="007704BB">
      <w:pPr>
        <w:pStyle w:val="EndnoteText"/>
        <w:ind w:left="720" w:hanging="720"/>
        <w:rPr>
          <w:sz w:val="24"/>
          <w:szCs w:val="24"/>
        </w:rPr>
      </w:pPr>
      <w:r>
        <w:rPr>
          <w:sz w:val="24"/>
          <w:szCs w:val="24"/>
        </w:rPr>
        <w:t xml:space="preserve">Statistics Canada. (2008). </w:t>
      </w:r>
      <w:r w:rsidRPr="007704BB">
        <w:rPr>
          <w:i/>
          <w:sz w:val="24"/>
          <w:szCs w:val="24"/>
        </w:rPr>
        <w:t xml:space="preserve">Participation and Activity Limitation Survey 2006: Labour force experience of people with disabilities in Canada. </w:t>
      </w:r>
      <w:r>
        <w:rPr>
          <w:sz w:val="24"/>
          <w:szCs w:val="24"/>
        </w:rPr>
        <w:t>Ottawa: Minister of Industry.</w:t>
      </w:r>
    </w:p>
    <w:p w:rsidR="00F13584" w:rsidRPr="00734DC8" w:rsidRDefault="00F13584" w:rsidP="00F13584">
      <w:pPr>
        <w:pStyle w:val="EndnoteText"/>
        <w:ind w:left="720" w:hanging="720"/>
        <w:rPr>
          <w:sz w:val="24"/>
          <w:szCs w:val="24"/>
        </w:rPr>
      </w:pPr>
      <w:r w:rsidRPr="00734DC8">
        <w:rPr>
          <w:sz w:val="24"/>
          <w:szCs w:val="24"/>
        </w:rPr>
        <w:t xml:space="preserve">Statistics Canada. (2009). </w:t>
      </w:r>
      <w:r w:rsidRPr="00734DC8">
        <w:rPr>
          <w:i/>
          <w:sz w:val="24"/>
          <w:szCs w:val="24"/>
        </w:rPr>
        <w:t xml:space="preserve">Low income cut-offs. </w:t>
      </w:r>
      <w:r w:rsidRPr="00734DC8">
        <w:rPr>
          <w:sz w:val="24"/>
          <w:szCs w:val="24"/>
        </w:rPr>
        <w:t xml:space="preserve">Ottawa: Author. Retrieved from </w:t>
      </w:r>
      <w:hyperlink r:id="rId73" w:history="1">
        <w:r w:rsidRPr="00734DC8">
          <w:rPr>
            <w:rStyle w:val="Hyperlink"/>
            <w:sz w:val="24"/>
            <w:szCs w:val="24"/>
          </w:rPr>
          <w:t>http://www.statcan.gc.ca/pub/75f0002m/2009002/s2-eng.htm</w:t>
        </w:r>
      </w:hyperlink>
      <w:r w:rsidRPr="00734DC8">
        <w:rPr>
          <w:sz w:val="24"/>
          <w:szCs w:val="24"/>
        </w:rPr>
        <w:t xml:space="preserve">. </w:t>
      </w:r>
    </w:p>
    <w:p w:rsidR="00F13584" w:rsidRPr="00734DC8" w:rsidRDefault="00F13584" w:rsidP="00F13584">
      <w:pPr>
        <w:pStyle w:val="EndnoteText"/>
        <w:ind w:left="720" w:hanging="720"/>
        <w:rPr>
          <w:sz w:val="24"/>
          <w:szCs w:val="24"/>
        </w:rPr>
      </w:pPr>
      <w:r w:rsidRPr="00734DC8">
        <w:rPr>
          <w:sz w:val="24"/>
          <w:szCs w:val="24"/>
        </w:rPr>
        <w:t xml:space="preserve">Statistics Canada. (2011). </w:t>
      </w:r>
      <w:r w:rsidRPr="00734DC8">
        <w:rPr>
          <w:i/>
          <w:sz w:val="24"/>
          <w:szCs w:val="24"/>
        </w:rPr>
        <w:t>User's guide for cross-sectional public-use microdata file: Survey of Labour and Income Dynamics (SLID) 2009.</w:t>
      </w:r>
      <w:r w:rsidRPr="00734DC8">
        <w:rPr>
          <w:sz w:val="24"/>
          <w:szCs w:val="24"/>
        </w:rPr>
        <w:t xml:space="preserve"> Ottawa: Minister of Industry.</w:t>
      </w:r>
    </w:p>
    <w:p w:rsidR="00F13584" w:rsidRDefault="00F13584" w:rsidP="00F13584">
      <w:pPr>
        <w:pStyle w:val="EndnoteText"/>
        <w:ind w:left="720" w:hanging="720"/>
        <w:rPr>
          <w:sz w:val="24"/>
          <w:szCs w:val="24"/>
        </w:rPr>
      </w:pPr>
      <w:r w:rsidRPr="00734DC8">
        <w:rPr>
          <w:sz w:val="24"/>
          <w:szCs w:val="24"/>
        </w:rPr>
        <w:t xml:space="preserve">Statistics Canada. (2012). </w:t>
      </w:r>
      <w:r w:rsidRPr="00734DC8">
        <w:rPr>
          <w:i/>
          <w:sz w:val="24"/>
          <w:szCs w:val="24"/>
        </w:rPr>
        <w:t xml:space="preserve">Survey of Labour and Income Dynamics (SLID). </w:t>
      </w:r>
      <w:r w:rsidRPr="00734DC8">
        <w:rPr>
          <w:sz w:val="24"/>
          <w:szCs w:val="24"/>
        </w:rPr>
        <w:t xml:space="preserve">Ottawa: Author. Retrieved from </w:t>
      </w:r>
      <w:hyperlink r:id="rId74" w:history="1">
        <w:r w:rsidRPr="00734DC8">
          <w:rPr>
            <w:rStyle w:val="Hyperlink"/>
            <w:sz w:val="24"/>
            <w:szCs w:val="24"/>
          </w:rPr>
          <w:t>http://www23.statcan.gc.ca/imdb/p2SV.pl?Function=getSurvey&amp;SDDS=3889&amp;Item_Id=1370&amp;lang=en</w:t>
        </w:r>
      </w:hyperlink>
      <w:r w:rsidRPr="00734DC8">
        <w:rPr>
          <w:sz w:val="24"/>
          <w:szCs w:val="24"/>
        </w:rPr>
        <w:t xml:space="preserve">. </w:t>
      </w:r>
    </w:p>
    <w:p w:rsidR="00D1660E" w:rsidRDefault="00D1660E" w:rsidP="00F13584">
      <w:pPr>
        <w:pStyle w:val="EndnoteText"/>
        <w:ind w:left="720" w:hanging="720"/>
        <w:rPr>
          <w:sz w:val="24"/>
          <w:szCs w:val="24"/>
        </w:rPr>
      </w:pPr>
      <w:r>
        <w:rPr>
          <w:sz w:val="24"/>
          <w:szCs w:val="24"/>
        </w:rPr>
        <w:t xml:space="preserve">Statistics Canada. (2013). </w:t>
      </w:r>
      <w:r w:rsidRPr="00A33811">
        <w:rPr>
          <w:i/>
          <w:sz w:val="24"/>
          <w:szCs w:val="24"/>
        </w:rPr>
        <w:t xml:space="preserve">DLI survival guide – Section 4: Data. </w:t>
      </w:r>
      <w:r>
        <w:rPr>
          <w:sz w:val="24"/>
          <w:szCs w:val="24"/>
        </w:rPr>
        <w:t xml:space="preserve">Ottawa: Statistics Canada. Retrieved from </w:t>
      </w:r>
      <w:hyperlink r:id="rId75" w:history="1">
        <w:r w:rsidRPr="00275029">
          <w:rPr>
            <w:rStyle w:val="Hyperlink"/>
            <w:sz w:val="24"/>
            <w:szCs w:val="24"/>
          </w:rPr>
          <w:t>http://www.statcan.gc.ca/dli-ild/guide-trousse/guide-trousse/toc-tdm/3000276-eng.htm</w:t>
        </w:r>
      </w:hyperlink>
    </w:p>
    <w:p w:rsidR="00710D2B" w:rsidRDefault="00D251BC" w:rsidP="00D251BC">
      <w:pPr>
        <w:ind w:left="720" w:hanging="720"/>
      </w:pPr>
      <w:r>
        <w:t xml:space="preserve">United Nations. (2006). </w:t>
      </w:r>
      <w:r w:rsidRPr="00D251BC">
        <w:rPr>
          <w:i/>
        </w:rPr>
        <w:t xml:space="preserve">Convention on the Rights of Persons with Disabilities and Optional Protocol. </w:t>
      </w:r>
      <w:r>
        <w:t>Geneva: Author.</w:t>
      </w:r>
    </w:p>
    <w:sectPr w:rsidR="00710D2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60" w:rsidRDefault="000C3460" w:rsidP="0000665B">
      <w:pPr>
        <w:spacing w:after="0" w:line="240" w:lineRule="auto"/>
      </w:pPr>
      <w:r>
        <w:separator/>
      </w:r>
    </w:p>
    <w:p w:rsidR="000C3460" w:rsidRDefault="000C3460"/>
    <w:p w:rsidR="000C3460" w:rsidRDefault="000C3460"/>
  </w:endnote>
  <w:endnote w:type="continuationSeparator" w:id="0">
    <w:p w:rsidR="000C3460" w:rsidRDefault="000C3460" w:rsidP="0000665B">
      <w:pPr>
        <w:spacing w:after="0" w:line="240" w:lineRule="auto"/>
      </w:pPr>
      <w:r>
        <w:continuationSeparator/>
      </w:r>
    </w:p>
    <w:p w:rsidR="000C3460" w:rsidRDefault="000C3460"/>
    <w:p w:rsidR="000C3460" w:rsidRDefault="000C3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elon-Light">
    <w:altName w:val="Times New Roman"/>
    <w:charset w:val="00"/>
    <w:family w:val="auto"/>
    <w:pitch w:val="variable"/>
    <w:sig w:usb0="A00000EF" w:usb1="2000F5C7" w:usb2="00000000" w:usb3="00000000" w:csb0="00000093"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p>
  <w:p w:rsidR="00C16F02" w:rsidRDefault="00C16F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r>
      <w:fldChar w:fldCharType="begin"/>
    </w:r>
    <w:r>
      <w:instrText xml:space="preserve"> PAGE   \* MERGEFORMAT </w:instrText>
    </w:r>
    <w:r>
      <w:fldChar w:fldCharType="separate"/>
    </w:r>
    <w:r w:rsidR="003C7865">
      <w:rPr>
        <w:noProof/>
      </w:rPr>
      <w:t>vi</w:t>
    </w:r>
    <w:r>
      <w:rPr>
        <w:noProof/>
      </w:rPr>
      <w:fldChar w:fldCharType="end"/>
    </w:r>
  </w:p>
  <w:p w:rsidR="00C16F02" w:rsidRDefault="00C16F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r>
      <w:fldChar w:fldCharType="begin"/>
    </w:r>
    <w:r>
      <w:instrText xml:space="preserve"> PAGE   \* MERGEFORMAT </w:instrText>
    </w:r>
    <w:r>
      <w:fldChar w:fldCharType="separate"/>
    </w:r>
    <w:r w:rsidR="003C7865">
      <w:rPr>
        <w:noProof/>
      </w:rPr>
      <w:t>1</w:t>
    </w:r>
    <w:r>
      <w:rPr>
        <w:noProof/>
      </w:rPr>
      <w:fldChar w:fldCharType="end"/>
    </w:r>
  </w:p>
  <w:p w:rsidR="00C16F02" w:rsidRDefault="00C16F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p>
  <w:p w:rsidR="00C16F02" w:rsidRDefault="00C16F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r>
      <w:fldChar w:fldCharType="begin"/>
    </w:r>
    <w:r>
      <w:instrText xml:space="preserve"> PAGE   \* MERGEFORMAT </w:instrText>
    </w:r>
    <w:r>
      <w:fldChar w:fldCharType="separate"/>
    </w:r>
    <w:r w:rsidR="003C7865">
      <w:rPr>
        <w:noProof/>
      </w:rPr>
      <w:t>44</w:t>
    </w:r>
    <w:r>
      <w:rPr>
        <w:noProof/>
      </w:rPr>
      <w:fldChar w:fldCharType="end"/>
    </w:r>
  </w:p>
  <w:p w:rsidR="00C16F02" w:rsidRDefault="00C16F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p>
  <w:p w:rsidR="00C16F02" w:rsidRDefault="00C16F0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Footer"/>
      <w:jc w:val="right"/>
    </w:pPr>
    <w:r>
      <w:fldChar w:fldCharType="begin"/>
    </w:r>
    <w:r>
      <w:instrText xml:space="preserve"> PAGE   \* MERGEFORMAT </w:instrText>
    </w:r>
    <w:r>
      <w:fldChar w:fldCharType="separate"/>
    </w:r>
    <w:r w:rsidR="003C7865">
      <w:rPr>
        <w:noProof/>
      </w:rPr>
      <w:t>52</w:t>
    </w:r>
    <w:r>
      <w:rPr>
        <w:noProof/>
      </w:rPr>
      <w:fldChar w:fldCharType="end"/>
    </w:r>
  </w:p>
  <w:p w:rsidR="00C16F02" w:rsidRDefault="00C16F0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rsidP="00B852F9">
    <w:pPr>
      <w:pStyle w:val="Footer"/>
      <w:spacing w:after="0"/>
      <w:jc w:val="right"/>
    </w:pPr>
    <w:r>
      <w:fldChar w:fldCharType="begin"/>
    </w:r>
    <w:r>
      <w:instrText xml:space="preserve"> PAGE   \* MERGEFORMAT </w:instrText>
    </w:r>
    <w:r>
      <w:fldChar w:fldCharType="separate"/>
    </w:r>
    <w:r w:rsidR="003C7865">
      <w:rPr>
        <w:noProof/>
      </w:rPr>
      <w:t>73</w:t>
    </w:r>
    <w:r>
      <w:rPr>
        <w:noProof/>
      </w:rPr>
      <w:fldChar w:fldCharType="end"/>
    </w:r>
  </w:p>
  <w:p w:rsidR="00C16F02" w:rsidRDefault="00C16F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60" w:rsidRDefault="000C3460">
      <w:r>
        <w:separator/>
      </w:r>
    </w:p>
  </w:footnote>
  <w:footnote w:type="continuationSeparator" w:id="0">
    <w:p w:rsidR="000C3460" w:rsidRDefault="000C3460" w:rsidP="0000665B">
      <w:pPr>
        <w:spacing w:after="0" w:line="240" w:lineRule="auto"/>
      </w:pPr>
      <w:r>
        <w:continuationSeparator/>
      </w:r>
    </w:p>
    <w:p w:rsidR="000C3460" w:rsidRDefault="000C3460"/>
    <w:p w:rsidR="000C3460" w:rsidRDefault="000C3460"/>
  </w:footnote>
  <w:footnote w:id="1">
    <w:p w:rsidR="00C16F02" w:rsidRDefault="00C16F02">
      <w:pPr>
        <w:pStyle w:val="FootnoteText"/>
      </w:pPr>
      <w:r>
        <w:rPr>
          <w:rStyle w:val="FootnoteReference"/>
        </w:rPr>
        <w:footnoteRef/>
      </w:r>
      <w:r>
        <w:t xml:space="preserve"> </w:t>
      </w:r>
      <w:r w:rsidRPr="003F20E9">
        <w:t xml:space="preserve">A PUMF is a modified version of the Master File on which the PUMF is based. Modifications made in creating a PUMF may include collapsing variables (e.g., </w:t>
      </w:r>
      <w:r>
        <w:t xml:space="preserve">individual years of age </w:t>
      </w:r>
      <w:r w:rsidRPr="003F20E9">
        <w:t>into age groups</w:t>
      </w:r>
      <w:r>
        <w:t>)</w:t>
      </w:r>
      <w:r w:rsidRPr="003F20E9">
        <w:t>, suppressing variables and removing cases with extreme values (Statistics Canada, 2013).</w:t>
      </w:r>
    </w:p>
  </w:footnote>
  <w:footnote w:id="2">
    <w:p w:rsidR="00C16F02" w:rsidRDefault="00C16F02" w:rsidP="000E2B78">
      <w:pPr>
        <w:pStyle w:val="FootnoteText"/>
      </w:pPr>
      <w:r>
        <w:rPr>
          <w:rStyle w:val="FootnoteReference"/>
        </w:rPr>
        <w:footnoteRef/>
      </w:r>
      <w:r>
        <w:t xml:space="preserve"> </w:t>
      </w:r>
      <w:r w:rsidRPr="008A5EB5">
        <w:t>Statistics Canada generates 35</w:t>
      </w:r>
      <w:r>
        <w:t xml:space="preserve"> before-tax and after-tax</w:t>
      </w:r>
      <w:r w:rsidRPr="008A5EB5">
        <w:t xml:space="preserve"> </w:t>
      </w:r>
      <w:proofErr w:type="gramStart"/>
      <w:r w:rsidRPr="008A5EB5">
        <w:t xml:space="preserve">LICOs </w:t>
      </w:r>
      <w:r>
        <w:t xml:space="preserve"> for</w:t>
      </w:r>
      <w:proofErr w:type="gramEnd"/>
      <w:r>
        <w:t xml:space="preserve"> households with 1, 2, 3, 4, 5, 6 and 7 or more people in communities of five different population ranges, from small to largest. Statistics Canada does not generate LICOs for the northern territories, however.</w:t>
      </w:r>
    </w:p>
  </w:footnote>
  <w:footnote w:id="3">
    <w:p w:rsidR="00C16F02" w:rsidRDefault="00C16F02" w:rsidP="000A0680">
      <w:pPr>
        <w:pStyle w:val="FootnoteText"/>
      </w:pPr>
      <w:r>
        <w:rPr>
          <w:rStyle w:val="FootnoteReference"/>
        </w:rPr>
        <w:footnoteRef/>
      </w:r>
      <w:r>
        <w:t xml:space="preserve"> Neither RRSP withdrawals by people younger than 65 years nor taxable capital gains are included because these income sources are not factored into ‘total income’ in SLID or in the Census.</w:t>
      </w:r>
    </w:p>
  </w:footnote>
  <w:footnote w:id="4">
    <w:p w:rsidR="00C16F02" w:rsidRDefault="00C16F02" w:rsidP="00BC2582">
      <w:pPr>
        <w:pStyle w:val="FootnoteText"/>
      </w:pPr>
      <w:r>
        <w:rPr>
          <w:rStyle w:val="FootnoteReference"/>
        </w:rPr>
        <w:footnoteRef/>
      </w:r>
      <w:r>
        <w:t xml:space="preserve"> This variable was d</w:t>
      </w:r>
      <w:r w:rsidRPr="00D17AF7">
        <w:t xml:space="preserve">erived by subtracting the above sources from mtinc42, which is </w:t>
      </w:r>
      <w:r>
        <w:t>a summary of all market income.</w:t>
      </w:r>
    </w:p>
  </w:footnote>
  <w:footnote w:id="5">
    <w:p w:rsidR="00C16F02" w:rsidRDefault="00C16F02" w:rsidP="0041774F">
      <w:pPr>
        <w:pStyle w:val="FootnoteText"/>
      </w:pPr>
      <w:r>
        <w:rPr>
          <w:rStyle w:val="FootnoteReference"/>
        </w:rPr>
        <w:footnoteRef/>
      </w:r>
      <w:r>
        <w:t xml:space="preserve"> This variable was d</w:t>
      </w:r>
      <w:r w:rsidRPr="00CE4080">
        <w:t>erived by subtracting the above sources from gtr42</w:t>
      </w:r>
      <w:r>
        <w:t>, which is a summary of all government transfer income.</w:t>
      </w:r>
    </w:p>
  </w:footnote>
  <w:footnote w:id="6">
    <w:p w:rsidR="00C16F02" w:rsidRDefault="00C16F02">
      <w:pPr>
        <w:pStyle w:val="FootnoteText"/>
      </w:pPr>
      <w:r>
        <w:rPr>
          <w:rStyle w:val="FootnoteReference"/>
        </w:rPr>
        <w:footnoteRef/>
      </w:r>
      <w:r>
        <w:t xml:space="preserve"> In some cases a loss of income and therefore a negative number is indicated in brackets in the area of self-employment.</w:t>
      </w:r>
    </w:p>
  </w:footnote>
  <w:footnote w:id="7">
    <w:p w:rsidR="00C16F02" w:rsidRDefault="00C16F02">
      <w:pPr>
        <w:pStyle w:val="FootnoteText"/>
      </w:pPr>
      <w:r>
        <w:rPr>
          <w:rStyle w:val="FootnoteReference"/>
        </w:rPr>
        <w:footnoteRef/>
      </w:r>
      <w:r>
        <w:t xml:space="preserve"> </w:t>
      </w:r>
      <w:r w:rsidRPr="009D205F">
        <w:t>The average amount of social assistance received by people who received a dollar or more was $8,064.</w:t>
      </w:r>
    </w:p>
  </w:footnote>
  <w:footnote w:id="8">
    <w:p w:rsidR="00C16F02" w:rsidRDefault="00C16F02" w:rsidP="00D32ACB">
      <w:pPr>
        <w:pStyle w:val="FootnoteText"/>
      </w:pPr>
      <w:r>
        <w:rPr>
          <w:rStyle w:val="FootnoteReference"/>
        </w:rPr>
        <w:footnoteRef/>
      </w:r>
      <w:r>
        <w:t xml:space="preserve"> </w:t>
      </w:r>
      <w:proofErr w:type="gramStart"/>
      <w:r w:rsidRPr="00D25F50">
        <w:t>N</w:t>
      </w:r>
      <w:r>
        <w:t>or</w:t>
      </w:r>
      <w:r w:rsidRPr="00D25F50">
        <w:t xml:space="preserve"> was SLID conducted in institutions, First Nations reserves or military barracks.</w:t>
      </w:r>
      <w:proofErr w:type="gramEnd"/>
    </w:p>
  </w:footnote>
  <w:footnote w:id="9">
    <w:p w:rsidR="00C16F02" w:rsidRDefault="00C16F02" w:rsidP="00D7514A">
      <w:pPr>
        <w:pStyle w:val="FootnoteText"/>
      </w:pPr>
      <w:r>
        <w:rPr>
          <w:rStyle w:val="FootnoteReference"/>
        </w:rPr>
        <w:footnoteRef/>
      </w:r>
      <w:r>
        <w:t xml:space="preserve"> </w:t>
      </w:r>
      <w:r w:rsidRPr="00DB5F14">
        <w:t xml:space="preserve">For instance, cases </w:t>
      </w:r>
      <w:r>
        <w:t xml:space="preserve">on the variable for total wages and salaries </w:t>
      </w:r>
      <w:r w:rsidRPr="00DB5F14">
        <w:t>are rounded to the nearest $25 below $1,100, $50 between $1,100 and $2,200, $100 up to $4,700</w:t>
      </w:r>
      <w:r>
        <w:t xml:space="preserve"> and</w:t>
      </w:r>
      <w:r w:rsidRPr="00DB5F14">
        <w:t xml:space="preserve"> various increments</w:t>
      </w:r>
      <w:r>
        <w:t xml:space="preserve"> for incomes beyond $4,700. Some 77.6% of </w:t>
      </w:r>
      <w:proofErr w:type="spellStart"/>
      <w:r>
        <w:t>unweighted</w:t>
      </w:r>
      <w:proofErr w:type="spellEnd"/>
      <w:r>
        <w:t xml:space="preserve"> cases are rounded to the nearest $1,000 or smaller increment.  </w:t>
      </w:r>
    </w:p>
  </w:footnote>
  <w:footnote w:id="10">
    <w:p w:rsidR="00C16F02" w:rsidRDefault="00C16F02" w:rsidP="00A3607E">
      <w:pPr>
        <w:pStyle w:val="FootnoteText"/>
      </w:pPr>
      <w:r>
        <w:rPr>
          <w:rStyle w:val="FootnoteReference"/>
        </w:rPr>
        <w:footnoteRef/>
      </w:r>
      <w:r>
        <w:t xml:space="preserve"> 54.5% of total cases on the books for Ontario Works (general social assistance) and the Ontario Disability Supports Program (ODSP) are ODSP recipients. Some recipients of Ontario Works, however, may have disabilities that do not meet the program criteria for ODSP (</w:t>
      </w:r>
      <w:proofErr w:type="spellStart"/>
      <w:r>
        <w:t>Lightman</w:t>
      </w:r>
      <w:proofErr w:type="spellEnd"/>
      <w:r>
        <w:t xml:space="preserve"> et al., 2012), so the presence of people with disabilities among social assistance recipients may be under-represented in Ontario’s administrative data.</w:t>
      </w:r>
    </w:p>
  </w:footnote>
  <w:footnote w:id="11">
    <w:p w:rsidR="00C16F02" w:rsidRDefault="00C16F02">
      <w:pPr>
        <w:pStyle w:val="FootnoteText"/>
      </w:pPr>
      <w:r>
        <w:rPr>
          <w:rStyle w:val="FootnoteReference"/>
        </w:rPr>
        <w:footnoteRef/>
      </w:r>
      <w:r>
        <w:t xml:space="preserve"> It is understood that sample size may have to be increased in order for such a change to be useful.</w:t>
      </w:r>
    </w:p>
  </w:footnote>
  <w:footnote w:id="12">
    <w:p w:rsidR="00C16F02" w:rsidRDefault="00C16F02" w:rsidP="0064338B">
      <w:pPr>
        <w:pStyle w:val="FootnoteText"/>
      </w:pPr>
      <w:r>
        <w:rPr>
          <w:rStyle w:val="FootnoteReference"/>
        </w:rPr>
        <w:footnoteRef/>
      </w:r>
      <w:r>
        <w:t xml:space="preserve"> </w:t>
      </w:r>
      <w:r w:rsidRPr="00CC2711">
        <w:t xml:space="preserve">Yukon and the Northwest Territories </w:t>
      </w:r>
      <w:r>
        <w:t>also provided child benefits (NCW, 2009), but the northern territories are not included in SLID. Presently, Alberta, British Columbia and Nunavut provide a child benefit as well (CRA, 2013a).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02" w:rsidRDefault="00C16F02" w:rsidP="00F57448">
    <w:pPr>
      <w:pStyle w:val="Header"/>
      <w:tabs>
        <w:tab w:val="clear" w:pos="4680"/>
        <w:tab w:val="clear" w:pos="9360"/>
        <w:tab w:val="left" w:pos="34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DB3"/>
    <w:multiLevelType w:val="hybridMultilevel"/>
    <w:tmpl w:val="9B1E40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203106"/>
    <w:multiLevelType w:val="hybridMultilevel"/>
    <w:tmpl w:val="6512C8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16341E7"/>
    <w:multiLevelType w:val="hybridMultilevel"/>
    <w:tmpl w:val="DA6028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2847C55"/>
    <w:multiLevelType w:val="hybridMultilevel"/>
    <w:tmpl w:val="A0161E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A88772C"/>
    <w:multiLevelType w:val="hybridMultilevel"/>
    <w:tmpl w:val="6BBA3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B3F6D84"/>
    <w:multiLevelType w:val="hybridMultilevel"/>
    <w:tmpl w:val="4594A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1CF3F0F"/>
    <w:multiLevelType w:val="hybridMultilevel"/>
    <w:tmpl w:val="44F2850A"/>
    <w:lvl w:ilvl="0" w:tplc="32F098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9D6AA8"/>
    <w:multiLevelType w:val="hybridMultilevel"/>
    <w:tmpl w:val="3270801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2B8C490F"/>
    <w:multiLevelType w:val="hybridMultilevel"/>
    <w:tmpl w:val="09CE63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EEC5CAA"/>
    <w:multiLevelType w:val="hybridMultilevel"/>
    <w:tmpl w:val="61B007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3BC7973"/>
    <w:multiLevelType w:val="hybridMultilevel"/>
    <w:tmpl w:val="22A69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4A97898"/>
    <w:multiLevelType w:val="hybridMultilevel"/>
    <w:tmpl w:val="5448C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B0449AB"/>
    <w:multiLevelType w:val="hybridMultilevel"/>
    <w:tmpl w:val="ACE66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EBD07DB"/>
    <w:multiLevelType w:val="hybridMultilevel"/>
    <w:tmpl w:val="5516C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5562889"/>
    <w:multiLevelType w:val="hybridMultilevel"/>
    <w:tmpl w:val="75547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ED6787A"/>
    <w:multiLevelType w:val="hybridMultilevel"/>
    <w:tmpl w:val="5218D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1054B01"/>
    <w:multiLevelType w:val="hybridMultilevel"/>
    <w:tmpl w:val="6E3EC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D1A5AEB"/>
    <w:multiLevelType w:val="hybridMultilevel"/>
    <w:tmpl w:val="619C2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5B03FBD"/>
    <w:multiLevelType w:val="hybridMultilevel"/>
    <w:tmpl w:val="C7B4FE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6090EB7"/>
    <w:multiLevelType w:val="hybridMultilevel"/>
    <w:tmpl w:val="E0D629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7B24C85"/>
    <w:multiLevelType w:val="hybridMultilevel"/>
    <w:tmpl w:val="AD426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DCD74EB"/>
    <w:multiLevelType w:val="hybridMultilevel"/>
    <w:tmpl w:val="3DC2C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E6B2F7B"/>
    <w:multiLevelType w:val="hybridMultilevel"/>
    <w:tmpl w:val="9DD44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1"/>
  </w:num>
  <w:num w:numId="5">
    <w:abstractNumId w:val="3"/>
  </w:num>
  <w:num w:numId="6">
    <w:abstractNumId w:val="0"/>
  </w:num>
  <w:num w:numId="7">
    <w:abstractNumId w:val="18"/>
  </w:num>
  <w:num w:numId="8">
    <w:abstractNumId w:val="22"/>
  </w:num>
  <w:num w:numId="9">
    <w:abstractNumId w:val="5"/>
  </w:num>
  <w:num w:numId="10">
    <w:abstractNumId w:val="4"/>
  </w:num>
  <w:num w:numId="11">
    <w:abstractNumId w:val="11"/>
  </w:num>
  <w:num w:numId="12">
    <w:abstractNumId w:val="21"/>
  </w:num>
  <w:num w:numId="13">
    <w:abstractNumId w:val="17"/>
  </w:num>
  <w:num w:numId="14">
    <w:abstractNumId w:val="19"/>
  </w:num>
  <w:num w:numId="15">
    <w:abstractNumId w:val="8"/>
  </w:num>
  <w:num w:numId="16">
    <w:abstractNumId w:val="20"/>
  </w:num>
  <w:num w:numId="17">
    <w:abstractNumId w:val="2"/>
  </w:num>
  <w:num w:numId="18">
    <w:abstractNumId w:val="12"/>
  </w:num>
  <w:num w:numId="19">
    <w:abstractNumId w:val="16"/>
  </w:num>
  <w:num w:numId="20">
    <w:abstractNumId w:val="15"/>
  </w:num>
  <w:num w:numId="21">
    <w:abstractNumId w:val="6"/>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5D5"/>
    <w:rsid w:val="0000064D"/>
    <w:rsid w:val="00000709"/>
    <w:rsid w:val="00001C3D"/>
    <w:rsid w:val="00002A55"/>
    <w:rsid w:val="000063CA"/>
    <w:rsid w:val="0000665B"/>
    <w:rsid w:val="000101A5"/>
    <w:rsid w:val="00010370"/>
    <w:rsid w:val="000112A7"/>
    <w:rsid w:val="0001181B"/>
    <w:rsid w:val="00011BCB"/>
    <w:rsid w:val="00012487"/>
    <w:rsid w:val="00014352"/>
    <w:rsid w:val="000146E9"/>
    <w:rsid w:val="000148C0"/>
    <w:rsid w:val="000150BE"/>
    <w:rsid w:val="000173EB"/>
    <w:rsid w:val="0002211B"/>
    <w:rsid w:val="00022204"/>
    <w:rsid w:val="000226CB"/>
    <w:rsid w:val="00023F9A"/>
    <w:rsid w:val="00025656"/>
    <w:rsid w:val="00026C62"/>
    <w:rsid w:val="00034975"/>
    <w:rsid w:val="00035908"/>
    <w:rsid w:val="000378D8"/>
    <w:rsid w:val="0004017E"/>
    <w:rsid w:val="00041AEF"/>
    <w:rsid w:val="00043E40"/>
    <w:rsid w:val="00044198"/>
    <w:rsid w:val="000452CE"/>
    <w:rsid w:val="00047842"/>
    <w:rsid w:val="0005081D"/>
    <w:rsid w:val="000529E5"/>
    <w:rsid w:val="0005627A"/>
    <w:rsid w:val="00057333"/>
    <w:rsid w:val="00060478"/>
    <w:rsid w:val="00061EF4"/>
    <w:rsid w:val="00071C6E"/>
    <w:rsid w:val="00081EDD"/>
    <w:rsid w:val="00082ACA"/>
    <w:rsid w:val="00087359"/>
    <w:rsid w:val="00094999"/>
    <w:rsid w:val="00096A19"/>
    <w:rsid w:val="000A0680"/>
    <w:rsid w:val="000A07C5"/>
    <w:rsid w:val="000A090D"/>
    <w:rsid w:val="000A0E2D"/>
    <w:rsid w:val="000A1FF1"/>
    <w:rsid w:val="000A2FB0"/>
    <w:rsid w:val="000A4E1A"/>
    <w:rsid w:val="000A59B9"/>
    <w:rsid w:val="000A5EE8"/>
    <w:rsid w:val="000A6B42"/>
    <w:rsid w:val="000A78F7"/>
    <w:rsid w:val="000B67DA"/>
    <w:rsid w:val="000B6C34"/>
    <w:rsid w:val="000B7936"/>
    <w:rsid w:val="000C3460"/>
    <w:rsid w:val="000C3AB0"/>
    <w:rsid w:val="000D12E6"/>
    <w:rsid w:val="000D2098"/>
    <w:rsid w:val="000D4847"/>
    <w:rsid w:val="000D532E"/>
    <w:rsid w:val="000E1115"/>
    <w:rsid w:val="000E2720"/>
    <w:rsid w:val="000E2B78"/>
    <w:rsid w:val="000F09B3"/>
    <w:rsid w:val="000F0AFD"/>
    <w:rsid w:val="000F187F"/>
    <w:rsid w:val="000F199A"/>
    <w:rsid w:val="000F3A0C"/>
    <w:rsid w:val="000F46F1"/>
    <w:rsid w:val="000F6715"/>
    <w:rsid w:val="000F7A25"/>
    <w:rsid w:val="001008F0"/>
    <w:rsid w:val="001022B4"/>
    <w:rsid w:val="0010405F"/>
    <w:rsid w:val="00105698"/>
    <w:rsid w:val="00110C37"/>
    <w:rsid w:val="001111DA"/>
    <w:rsid w:val="00111B96"/>
    <w:rsid w:val="0011244C"/>
    <w:rsid w:val="00113947"/>
    <w:rsid w:val="00116F1F"/>
    <w:rsid w:val="00120AB9"/>
    <w:rsid w:val="001218CD"/>
    <w:rsid w:val="00121A75"/>
    <w:rsid w:val="001240CC"/>
    <w:rsid w:val="0012454C"/>
    <w:rsid w:val="00125E64"/>
    <w:rsid w:val="0013070B"/>
    <w:rsid w:val="0013132B"/>
    <w:rsid w:val="00132571"/>
    <w:rsid w:val="001442F7"/>
    <w:rsid w:val="0014502C"/>
    <w:rsid w:val="001473AB"/>
    <w:rsid w:val="00147FA9"/>
    <w:rsid w:val="00150C78"/>
    <w:rsid w:val="00151144"/>
    <w:rsid w:val="00151746"/>
    <w:rsid w:val="00153462"/>
    <w:rsid w:val="001569F8"/>
    <w:rsid w:val="00162292"/>
    <w:rsid w:val="00164236"/>
    <w:rsid w:val="0016619E"/>
    <w:rsid w:val="001666A4"/>
    <w:rsid w:val="00171EA8"/>
    <w:rsid w:val="001737AE"/>
    <w:rsid w:val="00175F59"/>
    <w:rsid w:val="0017665F"/>
    <w:rsid w:val="00183B54"/>
    <w:rsid w:val="001844A3"/>
    <w:rsid w:val="00184675"/>
    <w:rsid w:val="00184ACD"/>
    <w:rsid w:val="00186CBB"/>
    <w:rsid w:val="001A1158"/>
    <w:rsid w:val="001A1B9F"/>
    <w:rsid w:val="001A5DB9"/>
    <w:rsid w:val="001A6EAC"/>
    <w:rsid w:val="001A7E0C"/>
    <w:rsid w:val="001B5989"/>
    <w:rsid w:val="001B7693"/>
    <w:rsid w:val="001C1F6C"/>
    <w:rsid w:val="001C2079"/>
    <w:rsid w:val="001C5101"/>
    <w:rsid w:val="001C5E52"/>
    <w:rsid w:val="001C634F"/>
    <w:rsid w:val="001C67AE"/>
    <w:rsid w:val="001D17E8"/>
    <w:rsid w:val="001D4AC1"/>
    <w:rsid w:val="001D7A33"/>
    <w:rsid w:val="001E284C"/>
    <w:rsid w:val="001E2E0E"/>
    <w:rsid w:val="001F005A"/>
    <w:rsid w:val="001F2AED"/>
    <w:rsid w:val="001F3A27"/>
    <w:rsid w:val="00201450"/>
    <w:rsid w:val="002023E0"/>
    <w:rsid w:val="00203898"/>
    <w:rsid w:val="00204FC8"/>
    <w:rsid w:val="002124A6"/>
    <w:rsid w:val="00213CE5"/>
    <w:rsid w:val="00220BF8"/>
    <w:rsid w:val="0022417E"/>
    <w:rsid w:val="00226F42"/>
    <w:rsid w:val="00234F7B"/>
    <w:rsid w:val="002351F4"/>
    <w:rsid w:val="002370A7"/>
    <w:rsid w:val="00237200"/>
    <w:rsid w:val="00237C12"/>
    <w:rsid w:val="00237C6C"/>
    <w:rsid w:val="00240513"/>
    <w:rsid w:val="0024119B"/>
    <w:rsid w:val="0024347A"/>
    <w:rsid w:val="00243DC6"/>
    <w:rsid w:val="0024518C"/>
    <w:rsid w:val="00246CDE"/>
    <w:rsid w:val="00247A1B"/>
    <w:rsid w:val="00250ECB"/>
    <w:rsid w:val="00251D37"/>
    <w:rsid w:val="00252493"/>
    <w:rsid w:val="00256045"/>
    <w:rsid w:val="0025755E"/>
    <w:rsid w:val="00261FC9"/>
    <w:rsid w:val="0026347C"/>
    <w:rsid w:val="002634C7"/>
    <w:rsid w:val="00263D02"/>
    <w:rsid w:val="002663E7"/>
    <w:rsid w:val="0026653E"/>
    <w:rsid w:val="00267C57"/>
    <w:rsid w:val="002700BB"/>
    <w:rsid w:val="002712EE"/>
    <w:rsid w:val="002712EF"/>
    <w:rsid w:val="00272CA9"/>
    <w:rsid w:val="00273699"/>
    <w:rsid w:val="00275C7A"/>
    <w:rsid w:val="00277261"/>
    <w:rsid w:val="00277CBB"/>
    <w:rsid w:val="002816B0"/>
    <w:rsid w:val="002832B0"/>
    <w:rsid w:val="002835E6"/>
    <w:rsid w:val="002848BB"/>
    <w:rsid w:val="002849D4"/>
    <w:rsid w:val="00285158"/>
    <w:rsid w:val="00286436"/>
    <w:rsid w:val="002924F6"/>
    <w:rsid w:val="00292638"/>
    <w:rsid w:val="002934BE"/>
    <w:rsid w:val="002945D5"/>
    <w:rsid w:val="00294776"/>
    <w:rsid w:val="00295CB5"/>
    <w:rsid w:val="00296655"/>
    <w:rsid w:val="002A1F32"/>
    <w:rsid w:val="002A2939"/>
    <w:rsid w:val="002A30C0"/>
    <w:rsid w:val="002A4969"/>
    <w:rsid w:val="002A69C2"/>
    <w:rsid w:val="002A701C"/>
    <w:rsid w:val="002B033A"/>
    <w:rsid w:val="002B0CC7"/>
    <w:rsid w:val="002B1E25"/>
    <w:rsid w:val="002B570F"/>
    <w:rsid w:val="002B6133"/>
    <w:rsid w:val="002B749C"/>
    <w:rsid w:val="002C007F"/>
    <w:rsid w:val="002C0EE8"/>
    <w:rsid w:val="002C2EE1"/>
    <w:rsid w:val="002C4168"/>
    <w:rsid w:val="002C4AE7"/>
    <w:rsid w:val="002C7C43"/>
    <w:rsid w:val="002D1872"/>
    <w:rsid w:val="002D62E8"/>
    <w:rsid w:val="002E16A1"/>
    <w:rsid w:val="002E1BC4"/>
    <w:rsid w:val="002E3AF2"/>
    <w:rsid w:val="002E482D"/>
    <w:rsid w:val="002E5E96"/>
    <w:rsid w:val="002F1B74"/>
    <w:rsid w:val="002F5DDE"/>
    <w:rsid w:val="002F67F2"/>
    <w:rsid w:val="002F7696"/>
    <w:rsid w:val="00300C06"/>
    <w:rsid w:val="00305E35"/>
    <w:rsid w:val="003101F7"/>
    <w:rsid w:val="00311BD5"/>
    <w:rsid w:val="00311FFB"/>
    <w:rsid w:val="00312FAC"/>
    <w:rsid w:val="003145E0"/>
    <w:rsid w:val="0031538B"/>
    <w:rsid w:val="00316D6E"/>
    <w:rsid w:val="00317EA2"/>
    <w:rsid w:val="0032079C"/>
    <w:rsid w:val="00322775"/>
    <w:rsid w:val="003237AB"/>
    <w:rsid w:val="00327185"/>
    <w:rsid w:val="00330417"/>
    <w:rsid w:val="0033071A"/>
    <w:rsid w:val="0033431B"/>
    <w:rsid w:val="00336CAB"/>
    <w:rsid w:val="003371D5"/>
    <w:rsid w:val="0034229D"/>
    <w:rsid w:val="0034256E"/>
    <w:rsid w:val="00350C8A"/>
    <w:rsid w:val="00355583"/>
    <w:rsid w:val="00361496"/>
    <w:rsid w:val="003665D6"/>
    <w:rsid w:val="0037007B"/>
    <w:rsid w:val="00370CB1"/>
    <w:rsid w:val="003730EE"/>
    <w:rsid w:val="00373CB7"/>
    <w:rsid w:val="00375583"/>
    <w:rsid w:val="003816D0"/>
    <w:rsid w:val="00382CC0"/>
    <w:rsid w:val="0038480A"/>
    <w:rsid w:val="00387DC8"/>
    <w:rsid w:val="00387E30"/>
    <w:rsid w:val="003915D2"/>
    <w:rsid w:val="00391EF6"/>
    <w:rsid w:val="003965F0"/>
    <w:rsid w:val="003970FE"/>
    <w:rsid w:val="0039779F"/>
    <w:rsid w:val="003A1A6F"/>
    <w:rsid w:val="003A29A7"/>
    <w:rsid w:val="003A35FA"/>
    <w:rsid w:val="003B2051"/>
    <w:rsid w:val="003B3222"/>
    <w:rsid w:val="003B3E89"/>
    <w:rsid w:val="003B457B"/>
    <w:rsid w:val="003B6EB4"/>
    <w:rsid w:val="003C0005"/>
    <w:rsid w:val="003C0A72"/>
    <w:rsid w:val="003C17C3"/>
    <w:rsid w:val="003C2A8E"/>
    <w:rsid w:val="003C7865"/>
    <w:rsid w:val="003D066D"/>
    <w:rsid w:val="003D372F"/>
    <w:rsid w:val="003D4429"/>
    <w:rsid w:val="003D691F"/>
    <w:rsid w:val="003D7823"/>
    <w:rsid w:val="003E3EDF"/>
    <w:rsid w:val="003E5487"/>
    <w:rsid w:val="003E593E"/>
    <w:rsid w:val="003E7B30"/>
    <w:rsid w:val="003F1DDB"/>
    <w:rsid w:val="003F20E9"/>
    <w:rsid w:val="003F3475"/>
    <w:rsid w:val="003F4168"/>
    <w:rsid w:val="003F478B"/>
    <w:rsid w:val="003F6133"/>
    <w:rsid w:val="003F646F"/>
    <w:rsid w:val="003F6881"/>
    <w:rsid w:val="003F7C82"/>
    <w:rsid w:val="004026F4"/>
    <w:rsid w:val="00402FAB"/>
    <w:rsid w:val="00405B63"/>
    <w:rsid w:val="004104C7"/>
    <w:rsid w:val="00410BF6"/>
    <w:rsid w:val="00414507"/>
    <w:rsid w:val="00415896"/>
    <w:rsid w:val="0041703C"/>
    <w:rsid w:val="0041772E"/>
    <w:rsid w:val="0041774F"/>
    <w:rsid w:val="00422080"/>
    <w:rsid w:val="00427EB5"/>
    <w:rsid w:val="00430981"/>
    <w:rsid w:val="0043183E"/>
    <w:rsid w:val="00434977"/>
    <w:rsid w:val="00434E9E"/>
    <w:rsid w:val="00435838"/>
    <w:rsid w:val="00437AB6"/>
    <w:rsid w:val="00447532"/>
    <w:rsid w:val="00447E8C"/>
    <w:rsid w:val="00452247"/>
    <w:rsid w:val="0046034F"/>
    <w:rsid w:val="00463732"/>
    <w:rsid w:val="004657A3"/>
    <w:rsid w:val="00466A41"/>
    <w:rsid w:val="00470AF1"/>
    <w:rsid w:val="00473970"/>
    <w:rsid w:val="00474C78"/>
    <w:rsid w:val="0048145D"/>
    <w:rsid w:val="00484A1D"/>
    <w:rsid w:val="00485181"/>
    <w:rsid w:val="00485462"/>
    <w:rsid w:val="0048638A"/>
    <w:rsid w:val="00490031"/>
    <w:rsid w:val="00491388"/>
    <w:rsid w:val="004A3636"/>
    <w:rsid w:val="004A4139"/>
    <w:rsid w:val="004A4EB5"/>
    <w:rsid w:val="004A618A"/>
    <w:rsid w:val="004B1452"/>
    <w:rsid w:val="004B162F"/>
    <w:rsid w:val="004B1954"/>
    <w:rsid w:val="004B2B10"/>
    <w:rsid w:val="004B4C44"/>
    <w:rsid w:val="004B4FE8"/>
    <w:rsid w:val="004B56B4"/>
    <w:rsid w:val="004B5C33"/>
    <w:rsid w:val="004D3919"/>
    <w:rsid w:val="004D4181"/>
    <w:rsid w:val="004D576C"/>
    <w:rsid w:val="004E1EB8"/>
    <w:rsid w:val="004E58EA"/>
    <w:rsid w:val="004E7231"/>
    <w:rsid w:val="00500F0E"/>
    <w:rsid w:val="005016EB"/>
    <w:rsid w:val="005023B9"/>
    <w:rsid w:val="00503B71"/>
    <w:rsid w:val="00505D5F"/>
    <w:rsid w:val="00505EC8"/>
    <w:rsid w:val="005066D4"/>
    <w:rsid w:val="00510121"/>
    <w:rsid w:val="00510FF6"/>
    <w:rsid w:val="00511B6B"/>
    <w:rsid w:val="00513EEF"/>
    <w:rsid w:val="00522706"/>
    <w:rsid w:val="0052369E"/>
    <w:rsid w:val="005237FF"/>
    <w:rsid w:val="005253F3"/>
    <w:rsid w:val="00527B65"/>
    <w:rsid w:val="0053603A"/>
    <w:rsid w:val="00536AED"/>
    <w:rsid w:val="005375E7"/>
    <w:rsid w:val="00540EC3"/>
    <w:rsid w:val="00543214"/>
    <w:rsid w:val="00544317"/>
    <w:rsid w:val="00546DBF"/>
    <w:rsid w:val="005477E4"/>
    <w:rsid w:val="0055008B"/>
    <w:rsid w:val="005517C5"/>
    <w:rsid w:val="0055260D"/>
    <w:rsid w:val="00554730"/>
    <w:rsid w:val="00555179"/>
    <w:rsid w:val="00555D4E"/>
    <w:rsid w:val="00560728"/>
    <w:rsid w:val="0056283D"/>
    <w:rsid w:val="00567E2E"/>
    <w:rsid w:val="005715EB"/>
    <w:rsid w:val="00572491"/>
    <w:rsid w:val="00574600"/>
    <w:rsid w:val="00581ACF"/>
    <w:rsid w:val="005847E4"/>
    <w:rsid w:val="0058548D"/>
    <w:rsid w:val="005916AE"/>
    <w:rsid w:val="00591EB5"/>
    <w:rsid w:val="005936F3"/>
    <w:rsid w:val="00596727"/>
    <w:rsid w:val="00596C93"/>
    <w:rsid w:val="005A0C99"/>
    <w:rsid w:val="005A0E80"/>
    <w:rsid w:val="005A5ECF"/>
    <w:rsid w:val="005B2B3A"/>
    <w:rsid w:val="005B4FDA"/>
    <w:rsid w:val="005B57B7"/>
    <w:rsid w:val="005B6419"/>
    <w:rsid w:val="005B7B03"/>
    <w:rsid w:val="005B7F87"/>
    <w:rsid w:val="005C1128"/>
    <w:rsid w:val="005C580A"/>
    <w:rsid w:val="005C7254"/>
    <w:rsid w:val="005D2269"/>
    <w:rsid w:val="005D26E8"/>
    <w:rsid w:val="005D2EC9"/>
    <w:rsid w:val="005D5D1B"/>
    <w:rsid w:val="005D5F72"/>
    <w:rsid w:val="005E0C50"/>
    <w:rsid w:val="005E28F9"/>
    <w:rsid w:val="005E2DA1"/>
    <w:rsid w:val="005E2F2D"/>
    <w:rsid w:val="005E5A4F"/>
    <w:rsid w:val="005F3944"/>
    <w:rsid w:val="005F3DB3"/>
    <w:rsid w:val="005F467B"/>
    <w:rsid w:val="005F479F"/>
    <w:rsid w:val="005F4AEC"/>
    <w:rsid w:val="0060462E"/>
    <w:rsid w:val="00604A8C"/>
    <w:rsid w:val="00604C6E"/>
    <w:rsid w:val="00605C4A"/>
    <w:rsid w:val="006076FF"/>
    <w:rsid w:val="00611090"/>
    <w:rsid w:val="006124AD"/>
    <w:rsid w:val="00612786"/>
    <w:rsid w:val="00614B59"/>
    <w:rsid w:val="00615CE3"/>
    <w:rsid w:val="00616F4E"/>
    <w:rsid w:val="00617CEA"/>
    <w:rsid w:val="006260FD"/>
    <w:rsid w:val="00630796"/>
    <w:rsid w:val="006309F1"/>
    <w:rsid w:val="00636EF3"/>
    <w:rsid w:val="0064338B"/>
    <w:rsid w:val="00643572"/>
    <w:rsid w:val="00647806"/>
    <w:rsid w:val="00650B0F"/>
    <w:rsid w:val="00652270"/>
    <w:rsid w:val="00654368"/>
    <w:rsid w:val="006547E9"/>
    <w:rsid w:val="0065493C"/>
    <w:rsid w:val="0065549E"/>
    <w:rsid w:val="00663406"/>
    <w:rsid w:val="00663D2C"/>
    <w:rsid w:val="00665FF5"/>
    <w:rsid w:val="006665DD"/>
    <w:rsid w:val="00672477"/>
    <w:rsid w:val="00673F53"/>
    <w:rsid w:val="00674489"/>
    <w:rsid w:val="00681EB8"/>
    <w:rsid w:val="006829FF"/>
    <w:rsid w:val="00692421"/>
    <w:rsid w:val="00696313"/>
    <w:rsid w:val="006A2EAC"/>
    <w:rsid w:val="006A7CC9"/>
    <w:rsid w:val="006B3294"/>
    <w:rsid w:val="006B6A1B"/>
    <w:rsid w:val="006B774A"/>
    <w:rsid w:val="006C05F2"/>
    <w:rsid w:val="006C0CFF"/>
    <w:rsid w:val="006C0E7B"/>
    <w:rsid w:val="006C18A2"/>
    <w:rsid w:val="006C4278"/>
    <w:rsid w:val="006C766E"/>
    <w:rsid w:val="006D0777"/>
    <w:rsid w:val="006D26A7"/>
    <w:rsid w:val="006D49BA"/>
    <w:rsid w:val="006E02A9"/>
    <w:rsid w:val="006E0424"/>
    <w:rsid w:val="006E0DEF"/>
    <w:rsid w:val="006E0F10"/>
    <w:rsid w:val="006E1D6B"/>
    <w:rsid w:val="006E2C30"/>
    <w:rsid w:val="006E6FF0"/>
    <w:rsid w:val="006E7FA5"/>
    <w:rsid w:val="006F1BCC"/>
    <w:rsid w:val="006F4C8B"/>
    <w:rsid w:val="006F54A2"/>
    <w:rsid w:val="006F5FCB"/>
    <w:rsid w:val="00700228"/>
    <w:rsid w:val="00700D57"/>
    <w:rsid w:val="0070160C"/>
    <w:rsid w:val="00706F0E"/>
    <w:rsid w:val="007071BD"/>
    <w:rsid w:val="00710D2B"/>
    <w:rsid w:val="00713918"/>
    <w:rsid w:val="00714A6D"/>
    <w:rsid w:val="007150AD"/>
    <w:rsid w:val="0071510B"/>
    <w:rsid w:val="00715B47"/>
    <w:rsid w:val="00722247"/>
    <w:rsid w:val="00723305"/>
    <w:rsid w:val="007315B0"/>
    <w:rsid w:val="00732517"/>
    <w:rsid w:val="00734DC8"/>
    <w:rsid w:val="00747CEB"/>
    <w:rsid w:val="00752B37"/>
    <w:rsid w:val="00760458"/>
    <w:rsid w:val="00766162"/>
    <w:rsid w:val="00766394"/>
    <w:rsid w:val="00766FC9"/>
    <w:rsid w:val="0077021F"/>
    <w:rsid w:val="007704BB"/>
    <w:rsid w:val="007734A7"/>
    <w:rsid w:val="0077393A"/>
    <w:rsid w:val="007777A7"/>
    <w:rsid w:val="00777885"/>
    <w:rsid w:val="0078218D"/>
    <w:rsid w:val="00784ED2"/>
    <w:rsid w:val="007851E9"/>
    <w:rsid w:val="0078552F"/>
    <w:rsid w:val="007863CA"/>
    <w:rsid w:val="00786C36"/>
    <w:rsid w:val="0079019A"/>
    <w:rsid w:val="0079039A"/>
    <w:rsid w:val="00790E51"/>
    <w:rsid w:val="00792C06"/>
    <w:rsid w:val="00795527"/>
    <w:rsid w:val="00796460"/>
    <w:rsid w:val="007A1C3A"/>
    <w:rsid w:val="007A5739"/>
    <w:rsid w:val="007A72EF"/>
    <w:rsid w:val="007B052E"/>
    <w:rsid w:val="007B09CA"/>
    <w:rsid w:val="007B1E92"/>
    <w:rsid w:val="007B7C31"/>
    <w:rsid w:val="007C0B9E"/>
    <w:rsid w:val="007C3B00"/>
    <w:rsid w:val="007C3D58"/>
    <w:rsid w:val="007C4C7F"/>
    <w:rsid w:val="007C4E77"/>
    <w:rsid w:val="007C668C"/>
    <w:rsid w:val="007D1640"/>
    <w:rsid w:val="007D5AFF"/>
    <w:rsid w:val="007D6567"/>
    <w:rsid w:val="007D6F82"/>
    <w:rsid w:val="007E5226"/>
    <w:rsid w:val="007F02CB"/>
    <w:rsid w:val="007F1153"/>
    <w:rsid w:val="007F22B7"/>
    <w:rsid w:val="007F232F"/>
    <w:rsid w:val="007F413F"/>
    <w:rsid w:val="007F4D3F"/>
    <w:rsid w:val="007F6995"/>
    <w:rsid w:val="008000D7"/>
    <w:rsid w:val="00800977"/>
    <w:rsid w:val="00801B8F"/>
    <w:rsid w:val="00802409"/>
    <w:rsid w:val="00806DBF"/>
    <w:rsid w:val="00811184"/>
    <w:rsid w:val="008135C2"/>
    <w:rsid w:val="0081376F"/>
    <w:rsid w:val="008139EB"/>
    <w:rsid w:val="00815F6F"/>
    <w:rsid w:val="008171BE"/>
    <w:rsid w:val="00820E1B"/>
    <w:rsid w:val="00823BAC"/>
    <w:rsid w:val="00827413"/>
    <w:rsid w:val="00836256"/>
    <w:rsid w:val="008364B1"/>
    <w:rsid w:val="00836695"/>
    <w:rsid w:val="008403C1"/>
    <w:rsid w:val="00842484"/>
    <w:rsid w:val="00843426"/>
    <w:rsid w:val="00843E4F"/>
    <w:rsid w:val="008457F7"/>
    <w:rsid w:val="00850D2B"/>
    <w:rsid w:val="00853BDC"/>
    <w:rsid w:val="008540D0"/>
    <w:rsid w:val="00857041"/>
    <w:rsid w:val="0086118A"/>
    <w:rsid w:val="00861A69"/>
    <w:rsid w:val="008736FC"/>
    <w:rsid w:val="00875CCD"/>
    <w:rsid w:val="00876969"/>
    <w:rsid w:val="00882915"/>
    <w:rsid w:val="00882949"/>
    <w:rsid w:val="00884DA7"/>
    <w:rsid w:val="008853CB"/>
    <w:rsid w:val="00886044"/>
    <w:rsid w:val="0088757E"/>
    <w:rsid w:val="00892550"/>
    <w:rsid w:val="00892E4D"/>
    <w:rsid w:val="00892EA8"/>
    <w:rsid w:val="0089649F"/>
    <w:rsid w:val="008A2F0F"/>
    <w:rsid w:val="008A3DEA"/>
    <w:rsid w:val="008A4AC1"/>
    <w:rsid w:val="008A50BE"/>
    <w:rsid w:val="008A5EB5"/>
    <w:rsid w:val="008A64FB"/>
    <w:rsid w:val="008A7770"/>
    <w:rsid w:val="008B1BF4"/>
    <w:rsid w:val="008B679E"/>
    <w:rsid w:val="008C1297"/>
    <w:rsid w:val="008C1E1D"/>
    <w:rsid w:val="008C38FB"/>
    <w:rsid w:val="008C45D5"/>
    <w:rsid w:val="008C5815"/>
    <w:rsid w:val="008C65BE"/>
    <w:rsid w:val="008C668E"/>
    <w:rsid w:val="008D0BA4"/>
    <w:rsid w:val="008D232E"/>
    <w:rsid w:val="008D36B9"/>
    <w:rsid w:val="008D5C92"/>
    <w:rsid w:val="008D6C62"/>
    <w:rsid w:val="008E03E4"/>
    <w:rsid w:val="008E2FCA"/>
    <w:rsid w:val="008E4EA7"/>
    <w:rsid w:val="008E50D5"/>
    <w:rsid w:val="008E5D75"/>
    <w:rsid w:val="008E6F9C"/>
    <w:rsid w:val="008F1502"/>
    <w:rsid w:val="008F3414"/>
    <w:rsid w:val="008F5E45"/>
    <w:rsid w:val="008F604D"/>
    <w:rsid w:val="008F78EF"/>
    <w:rsid w:val="00900077"/>
    <w:rsid w:val="00900301"/>
    <w:rsid w:val="009013E3"/>
    <w:rsid w:val="009024F9"/>
    <w:rsid w:val="00902F12"/>
    <w:rsid w:val="00914A1A"/>
    <w:rsid w:val="00917E1A"/>
    <w:rsid w:val="00917FF4"/>
    <w:rsid w:val="00921426"/>
    <w:rsid w:val="00932A6B"/>
    <w:rsid w:val="00933401"/>
    <w:rsid w:val="009337A7"/>
    <w:rsid w:val="00936DCF"/>
    <w:rsid w:val="0093747E"/>
    <w:rsid w:val="009413B1"/>
    <w:rsid w:val="00941E53"/>
    <w:rsid w:val="00943CB6"/>
    <w:rsid w:val="00944DD9"/>
    <w:rsid w:val="00946790"/>
    <w:rsid w:val="009472B7"/>
    <w:rsid w:val="0095347D"/>
    <w:rsid w:val="009545BB"/>
    <w:rsid w:val="00960271"/>
    <w:rsid w:val="009609AA"/>
    <w:rsid w:val="009625B8"/>
    <w:rsid w:val="0096486B"/>
    <w:rsid w:val="00965FD5"/>
    <w:rsid w:val="00966019"/>
    <w:rsid w:val="009668B7"/>
    <w:rsid w:val="00967EA3"/>
    <w:rsid w:val="00971662"/>
    <w:rsid w:val="00971B5E"/>
    <w:rsid w:val="009730D5"/>
    <w:rsid w:val="009740A7"/>
    <w:rsid w:val="00975649"/>
    <w:rsid w:val="00980F63"/>
    <w:rsid w:val="00981E9A"/>
    <w:rsid w:val="009857B6"/>
    <w:rsid w:val="00985963"/>
    <w:rsid w:val="00986633"/>
    <w:rsid w:val="00990578"/>
    <w:rsid w:val="00993279"/>
    <w:rsid w:val="009962D5"/>
    <w:rsid w:val="009A0569"/>
    <w:rsid w:val="009A0876"/>
    <w:rsid w:val="009A5AF8"/>
    <w:rsid w:val="009B2041"/>
    <w:rsid w:val="009B3F24"/>
    <w:rsid w:val="009B4A61"/>
    <w:rsid w:val="009C4FAA"/>
    <w:rsid w:val="009D15CD"/>
    <w:rsid w:val="009D205F"/>
    <w:rsid w:val="009D7CEC"/>
    <w:rsid w:val="009E198C"/>
    <w:rsid w:val="009E2557"/>
    <w:rsid w:val="009E3DCA"/>
    <w:rsid w:val="009E3F16"/>
    <w:rsid w:val="009F627C"/>
    <w:rsid w:val="00A010EC"/>
    <w:rsid w:val="00A05A36"/>
    <w:rsid w:val="00A128F1"/>
    <w:rsid w:val="00A144AB"/>
    <w:rsid w:val="00A1490C"/>
    <w:rsid w:val="00A1551C"/>
    <w:rsid w:val="00A16725"/>
    <w:rsid w:val="00A23D6C"/>
    <w:rsid w:val="00A25F15"/>
    <w:rsid w:val="00A26F7F"/>
    <w:rsid w:val="00A32DF2"/>
    <w:rsid w:val="00A33811"/>
    <w:rsid w:val="00A3607E"/>
    <w:rsid w:val="00A3719D"/>
    <w:rsid w:val="00A40641"/>
    <w:rsid w:val="00A41D06"/>
    <w:rsid w:val="00A42A7F"/>
    <w:rsid w:val="00A43EFE"/>
    <w:rsid w:val="00A45106"/>
    <w:rsid w:val="00A52BF5"/>
    <w:rsid w:val="00A5529B"/>
    <w:rsid w:val="00A57059"/>
    <w:rsid w:val="00A5719A"/>
    <w:rsid w:val="00A573EF"/>
    <w:rsid w:val="00A57B94"/>
    <w:rsid w:val="00A601D5"/>
    <w:rsid w:val="00A640E3"/>
    <w:rsid w:val="00A64B84"/>
    <w:rsid w:val="00A67587"/>
    <w:rsid w:val="00A729EC"/>
    <w:rsid w:val="00A72A73"/>
    <w:rsid w:val="00A73B4D"/>
    <w:rsid w:val="00A744A7"/>
    <w:rsid w:val="00A74BEE"/>
    <w:rsid w:val="00A74CE9"/>
    <w:rsid w:val="00A75CEA"/>
    <w:rsid w:val="00A75ECC"/>
    <w:rsid w:val="00A76FD6"/>
    <w:rsid w:val="00A77C79"/>
    <w:rsid w:val="00A8056B"/>
    <w:rsid w:val="00A83813"/>
    <w:rsid w:val="00A84690"/>
    <w:rsid w:val="00A85C4C"/>
    <w:rsid w:val="00A866C8"/>
    <w:rsid w:val="00A86E80"/>
    <w:rsid w:val="00A86F72"/>
    <w:rsid w:val="00A90F31"/>
    <w:rsid w:val="00A944E7"/>
    <w:rsid w:val="00A946D6"/>
    <w:rsid w:val="00A95C60"/>
    <w:rsid w:val="00A95E18"/>
    <w:rsid w:val="00A95F2B"/>
    <w:rsid w:val="00A961D3"/>
    <w:rsid w:val="00AA444F"/>
    <w:rsid w:val="00AA6BED"/>
    <w:rsid w:val="00AB2A8E"/>
    <w:rsid w:val="00AB400F"/>
    <w:rsid w:val="00AB52AB"/>
    <w:rsid w:val="00AB651C"/>
    <w:rsid w:val="00AC0A90"/>
    <w:rsid w:val="00AC1517"/>
    <w:rsid w:val="00AC3360"/>
    <w:rsid w:val="00AC5B4D"/>
    <w:rsid w:val="00AC7561"/>
    <w:rsid w:val="00AC7EBE"/>
    <w:rsid w:val="00AD148B"/>
    <w:rsid w:val="00AD464F"/>
    <w:rsid w:val="00AD4A36"/>
    <w:rsid w:val="00AE3CA8"/>
    <w:rsid w:val="00AE4450"/>
    <w:rsid w:val="00AE7813"/>
    <w:rsid w:val="00AF0904"/>
    <w:rsid w:val="00AF22D8"/>
    <w:rsid w:val="00AF2D33"/>
    <w:rsid w:val="00B02940"/>
    <w:rsid w:val="00B06EAA"/>
    <w:rsid w:val="00B075A4"/>
    <w:rsid w:val="00B1143C"/>
    <w:rsid w:val="00B14C1E"/>
    <w:rsid w:val="00B179BE"/>
    <w:rsid w:val="00B20E40"/>
    <w:rsid w:val="00B21A11"/>
    <w:rsid w:val="00B23297"/>
    <w:rsid w:val="00B234D0"/>
    <w:rsid w:val="00B26F8B"/>
    <w:rsid w:val="00B27014"/>
    <w:rsid w:val="00B31866"/>
    <w:rsid w:val="00B37852"/>
    <w:rsid w:val="00B401D3"/>
    <w:rsid w:val="00B42954"/>
    <w:rsid w:val="00B43E93"/>
    <w:rsid w:val="00B45FA4"/>
    <w:rsid w:val="00B55F28"/>
    <w:rsid w:val="00B60248"/>
    <w:rsid w:val="00B60482"/>
    <w:rsid w:val="00B65F4D"/>
    <w:rsid w:val="00B70A0A"/>
    <w:rsid w:val="00B72D8D"/>
    <w:rsid w:val="00B7338A"/>
    <w:rsid w:val="00B7767A"/>
    <w:rsid w:val="00B80A21"/>
    <w:rsid w:val="00B81526"/>
    <w:rsid w:val="00B8216E"/>
    <w:rsid w:val="00B82706"/>
    <w:rsid w:val="00B84951"/>
    <w:rsid w:val="00B850FB"/>
    <w:rsid w:val="00B8527C"/>
    <w:rsid w:val="00B852F9"/>
    <w:rsid w:val="00B861A2"/>
    <w:rsid w:val="00B94244"/>
    <w:rsid w:val="00B948CD"/>
    <w:rsid w:val="00BA123B"/>
    <w:rsid w:val="00BA78BD"/>
    <w:rsid w:val="00BB19F5"/>
    <w:rsid w:val="00BB3E53"/>
    <w:rsid w:val="00BB471B"/>
    <w:rsid w:val="00BB69ED"/>
    <w:rsid w:val="00BB73A6"/>
    <w:rsid w:val="00BC2582"/>
    <w:rsid w:val="00BC2D93"/>
    <w:rsid w:val="00BC36A7"/>
    <w:rsid w:val="00BC3D6D"/>
    <w:rsid w:val="00BD1853"/>
    <w:rsid w:val="00BD2E2D"/>
    <w:rsid w:val="00BD3D2D"/>
    <w:rsid w:val="00BD41DB"/>
    <w:rsid w:val="00BD609A"/>
    <w:rsid w:val="00BE25B0"/>
    <w:rsid w:val="00BE53AB"/>
    <w:rsid w:val="00BF0971"/>
    <w:rsid w:val="00BF1CFC"/>
    <w:rsid w:val="00BF2B67"/>
    <w:rsid w:val="00BF57FC"/>
    <w:rsid w:val="00C0172E"/>
    <w:rsid w:val="00C038B1"/>
    <w:rsid w:val="00C051B0"/>
    <w:rsid w:val="00C077BE"/>
    <w:rsid w:val="00C11268"/>
    <w:rsid w:val="00C14714"/>
    <w:rsid w:val="00C1602D"/>
    <w:rsid w:val="00C16F02"/>
    <w:rsid w:val="00C17269"/>
    <w:rsid w:val="00C1773E"/>
    <w:rsid w:val="00C17864"/>
    <w:rsid w:val="00C20962"/>
    <w:rsid w:val="00C21A82"/>
    <w:rsid w:val="00C2528E"/>
    <w:rsid w:val="00C27911"/>
    <w:rsid w:val="00C2792F"/>
    <w:rsid w:val="00C30C14"/>
    <w:rsid w:val="00C31BF8"/>
    <w:rsid w:val="00C3513C"/>
    <w:rsid w:val="00C37B00"/>
    <w:rsid w:val="00C41ECD"/>
    <w:rsid w:val="00C42359"/>
    <w:rsid w:val="00C42601"/>
    <w:rsid w:val="00C429AC"/>
    <w:rsid w:val="00C43F17"/>
    <w:rsid w:val="00C44AE5"/>
    <w:rsid w:val="00C45C6D"/>
    <w:rsid w:val="00C47BA7"/>
    <w:rsid w:val="00C5394D"/>
    <w:rsid w:val="00C5603F"/>
    <w:rsid w:val="00C56F97"/>
    <w:rsid w:val="00C618BE"/>
    <w:rsid w:val="00C70992"/>
    <w:rsid w:val="00C70A9A"/>
    <w:rsid w:val="00C71A77"/>
    <w:rsid w:val="00C72482"/>
    <w:rsid w:val="00C73505"/>
    <w:rsid w:val="00C7748F"/>
    <w:rsid w:val="00C805A8"/>
    <w:rsid w:val="00C80B47"/>
    <w:rsid w:val="00C82EC7"/>
    <w:rsid w:val="00C86611"/>
    <w:rsid w:val="00C90912"/>
    <w:rsid w:val="00C912E9"/>
    <w:rsid w:val="00C92020"/>
    <w:rsid w:val="00C92778"/>
    <w:rsid w:val="00C92C25"/>
    <w:rsid w:val="00C93ACF"/>
    <w:rsid w:val="00C94AA1"/>
    <w:rsid w:val="00C95167"/>
    <w:rsid w:val="00C95EB1"/>
    <w:rsid w:val="00C975DF"/>
    <w:rsid w:val="00CA550D"/>
    <w:rsid w:val="00CA61D2"/>
    <w:rsid w:val="00CB75DE"/>
    <w:rsid w:val="00CB77EF"/>
    <w:rsid w:val="00CC0A60"/>
    <w:rsid w:val="00CC2857"/>
    <w:rsid w:val="00CC3267"/>
    <w:rsid w:val="00CC4789"/>
    <w:rsid w:val="00CC5734"/>
    <w:rsid w:val="00CC6A63"/>
    <w:rsid w:val="00CD001E"/>
    <w:rsid w:val="00CD0B39"/>
    <w:rsid w:val="00CD289A"/>
    <w:rsid w:val="00CD570A"/>
    <w:rsid w:val="00CD5779"/>
    <w:rsid w:val="00CD7A88"/>
    <w:rsid w:val="00CE4080"/>
    <w:rsid w:val="00CE55B3"/>
    <w:rsid w:val="00CE5E79"/>
    <w:rsid w:val="00CF171C"/>
    <w:rsid w:val="00CF379E"/>
    <w:rsid w:val="00D0483A"/>
    <w:rsid w:val="00D07002"/>
    <w:rsid w:val="00D0777B"/>
    <w:rsid w:val="00D07CEC"/>
    <w:rsid w:val="00D07F52"/>
    <w:rsid w:val="00D14265"/>
    <w:rsid w:val="00D164D7"/>
    <w:rsid w:val="00D1660E"/>
    <w:rsid w:val="00D17AF7"/>
    <w:rsid w:val="00D2104C"/>
    <w:rsid w:val="00D24147"/>
    <w:rsid w:val="00D251BC"/>
    <w:rsid w:val="00D25F50"/>
    <w:rsid w:val="00D32ACB"/>
    <w:rsid w:val="00D33BCD"/>
    <w:rsid w:val="00D3575E"/>
    <w:rsid w:val="00D42FBF"/>
    <w:rsid w:val="00D4433D"/>
    <w:rsid w:val="00D44CD7"/>
    <w:rsid w:val="00D46B34"/>
    <w:rsid w:val="00D51C75"/>
    <w:rsid w:val="00D53673"/>
    <w:rsid w:val="00D571E2"/>
    <w:rsid w:val="00D604E6"/>
    <w:rsid w:val="00D61ACD"/>
    <w:rsid w:val="00D637AB"/>
    <w:rsid w:val="00D64632"/>
    <w:rsid w:val="00D708D1"/>
    <w:rsid w:val="00D734C6"/>
    <w:rsid w:val="00D73551"/>
    <w:rsid w:val="00D743ED"/>
    <w:rsid w:val="00D7514A"/>
    <w:rsid w:val="00D75344"/>
    <w:rsid w:val="00D75388"/>
    <w:rsid w:val="00D754A4"/>
    <w:rsid w:val="00D82C83"/>
    <w:rsid w:val="00D8550B"/>
    <w:rsid w:val="00D90E84"/>
    <w:rsid w:val="00D91224"/>
    <w:rsid w:val="00D917DC"/>
    <w:rsid w:val="00D91FED"/>
    <w:rsid w:val="00D927E7"/>
    <w:rsid w:val="00DA152B"/>
    <w:rsid w:val="00DA31EE"/>
    <w:rsid w:val="00DA33C1"/>
    <w:rsid w:val="00DA34A0"/>
    <w:rsid w:val="00DA4E8F"/>
    <w:rsid w:val="00DA590F"/>
    <w:rsid w:val="00DA629B"/>
    <w:rsid w:val="00DA761E"/>
    <w:rsid w:val="00DB0D09"/>
    <w:rsid w:val="00DB1B5B"/>
    <w:rsid w:val="00DB1F74"/>
    <w:rsid w:val="00DB5F14"/>
    <w:rsid w:val="00DB5F43"/>
    <w:rsid w:val="00DB7737"/>
    <w:rsid w:val="00DB7E59"/>
    <w:rsid w:val="00DC021A"/>
    <w:rsid w:val="00DC2B73"/>
    <w:rsid w:val="00DC4DFD"/>
    <w:rsid w:val="00DD0D4E"/>
    <w:rsid w:val="00DE0F7E"/>
    <w:rsid w:val="00DE1032"/>
    <w:rsid w:val="00DE1809"/>
    <w:rsid w:val="00DE2246"/>
    <w:rsid w:val="00DE40F0"/>
    <w:rsid w:val="00DE6B7E"/>
    <w:rsid w:val="00DE6BED"/>
    <w:rsid w:val="00DF182E"/>
    <w:rsid w:val="00DF500B"/>
    <w:rsid w:val="00DF6089"/>
    <w:rsid w:val="00DF6C33"/>
    <w:rsid w:val="00E019B9"/>
    <w:rsid w:val="00E031E9"/>
    <w:rsid w:val="00E10E9F"/>
    <w:rsid w:val="00E13879"/>
    <w:rsid w:val="00E1557C"/>
    <w:rsid w:val="00E179C6"/>
    <w:rsid w:val="00E2421F"/>
    <w:rsid w:val="00E27409"/>
    <w:rsid w:val="00E37045"/>
    <w:rsid w:val="00E438A1"/>
    <w:rsid w:val="00E46B55"/>
    <w:rsid w:val="00E46CDA"/>
    <w:rsid w:val="00E532E1"/>
    <w:rsid w:val="00E55299"/>
    <w:rsid w:val="00E55314"/>
    <w:rsid w:val="00E56319"/>
    <w:rsid w:val="00E56C04"/>
    <w:rsid w:val="00E57392"/>
    <w:rsid w:val="00E57ED2"/>
    <w:rsid w:val="00E63993"/>
    <w:rsid w:val="00E66DAA"/>
    <w:rsid w:val="00E6754C"/>
    <w:rsid w:val="00E67721"/>
    <w:rsid w:val="00E67727"/>
    <w:rsid w:val="00E73058"/>
    <w:rsid w:val="00E73889"/>
    <w:rsid w:val="00E75309"/>
    <w:rsid w:val="00E77C40"/>
    <w:rsid w:val="00E80C43"/>
    <w:rsid w:val="00E83182"/>
    <w:rsid w:val="00E83585"/>
    <w:rsid w:val="00E844B2"/>
    <w:rsid w:val="00E848D1"/>
    <w:rsid w:val="00E90412"/>
    <w:rsid w:val="00E908D8"/>
    <w:rsid w:val="00E9331B"/>
    <w:rsid w:val="00E94C0E"/>
    <w:rsid w:val="00E94D9E"/>
    <w:rsid w:val="00E960FB"/>
    <w:rsid w:val="00E96798"/>
    <w:rsid w:val="00E97C47"/>
    <w:rsid w:val="00E97F2B"/>
    <w:rsid w:val="00EA0BEC"/>
    <w:rsid w:val="00EA24EF"/>
    <w:rsid w:val="00EA3EB3"/>
    <w:rsid w:val="00EA3FAD"/>
    <w:rsid w:val="00EA5373"/>
    <w:rsid w:val="00EA5F06"/>
    <w:rsid w:val="00EA6286"/>
    <w:rsid w:val="00EA7E52"/>
    <w:rsid w:val="00EB092A"/>
    <w:rsid w:val="00EB7B9F"/>
    <w:rsid w:val="00EB7DAF"/>
    <w:rsid w:val="00EC3B98"/>
    <w:rsid w:val="00EC3FC0"/>
    <w:rsid w:val="00ED178A"/>
    <w:rsid w:val="00ED285B"/>
    <w:rsid w:val="00ED57B6"/>
    <w:rsid w:val="00ED7983"/>
    <w:rsid w:val="00EE5958"/>
    <w:rsid w:val="00EE5D9A"/>
    <w:rsid w:val="00EF2FBB"/>
    <w:rsid w:val="00EF4C1A"/>
    <w:rsid w:val="00F02ED8"/>
    <w:rsid w:val="00F037C3"/>
    <w:rsid w:val="00F04ACB"/>
    <w:rsid w:val="00F0558B"/>
    <w:rsid w:val="00F07212"/>
    <w:rsid w:val="00F11648"/>
    <w:rsid w:val="00F13584"/>
    <w:rsid w:val="00F1460C"/>
    <w:rsid w:val="00F203A6"/>
    <w:rsid w:val="00F23F70"/>
    <w:rsid w:val="00F34BB1"/>
    <w:rsid w:val="00F3511F"/>
    <w:rsid w:val="00F355C1"/>
    <w:rsid w:val="00F36CF5"/>
    <w:rsid w:val="00F37978"/>
    <w:rsid w:val="00F41BA1"/>
    <w:rsid w:val="00F42A06"/>
    <w:rsid w:val="00F42F93"/>
    <w:rsid w:val="00F44B98"/>
    <w:rsid w:val="00F52C53"/>
    <w:rsid w:val="00F536AB"/>
    <w:rsid w:val="00F559BC"/>
    <w:rsid w:val="00F573BF"/>
    <w:rsid w:val="00F57448"/>
    <w:rsid w:val="00F63256"/>
    <w:rsid w:val="00F6334A"/>
    <w:rsid w:val="00F64633"/>
    <w:rsid w:val="00F67F11"/>
    <w:rsid w:val="00F7134D"/>
    <w:rsid w:val="00F72C0A"/>
    <w:rsid w:val="00F76FD6"/>
    <w:rsid w:val="00F82970"/>
    <w:rsid w:val="00F86C53"/>
    <w:rsid w:val="00F910F1"/>
    <w:rsid w:val="00F92492"/>
    <w:rsid w:val="00F93B95"/>
    <w:rsid w:val="00F97486"/>
    <w:rsid w:val="00F97F35"/>
    <w:rsid w:val="00FA0386"/>
    <w:rsid w:val="00FA106D"/>
    <w:rsid w:val="00FA1410"/>
    <w:rsid w:val="00FA58B4"/>
    <w:rsid w:val="00FA6A86"/>
    <w:rsid w:val="00FB2F5C"/>
    <w:rsid w:val="00FB3BED"/>
    <w:rsid w:val="00FB56A0"/>
    <w:rsid w:val="00FC278C"/>
    <w:rsid w:val="00FC52E2"/>
    <w:rsid w:val="00FD1269"/>
    <w:rsid w:val="00FD2922"/>
    <w:rsid w:val="00FD31CD"/>
    <w:rsid w:val="00FD339F"/>
    <w:rsid w:val="00FD6119"/>
    <w:rsid w:val="00FE44EF"/>
    <w:rsid w:val="00FE5BC6"/>
    <w:rsid w:val="00FE75E4"/>
    <w:rsid w:val="00FF4C98"/>
    <w:rsid w:val="00FF5AAA"/>
    <w:rsid w:val="00FF6E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Calibri" w:hAnsi="Georg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paragraph" w:styleId="Heading1">
    <w:name w:val="heading 1"/>
    <w:basedOn w:val="Normal"/>
    <w:next w:val="Normal"/>
    <w:link w:val="Heading1Char"/>
    <w:uiPriority w:val="9"/>
    <w:qFormat/>
    <w:rsid w:val="00D91224"/>
    <w:pPr>
      <w:keepNext/>
      <w:spacing w:before="240" w:after="60"/>
      <w:outlineLvl w:val="0"/>
    </w:pPr>
    <w:rPr>
      <w:rFonts w:ascii="Cambria" w:eastAsia="Times New Roman" w:hAnsi="Cambria"/>
      <w:b/>
      <w:bCs/>
      <w:color w:val="548DD4"/>
      <w:kern w:val="32"/>
      <w:sz w:val="32"/>
      <w:szCs w:val="32"/>
    </w:rPr>
  </w:style>
  <w:style w:type="paragraph" w:styleId="Heading2">
    <w:name w:val="heading 2"/>
    <w:basedOn w:val="Normal"/>
    <w:next w:val="Normal"/>
    <w:link w:val="Heading2Char"/>
    <w:uiPriority w:val="9"/>
    <w:unhideWhenUsed/>
    <w:qFormat/>
    <w:rsid w:val="000146E9"/>
    <w:pPr>
      <w:keepNext/>
      <w:spacing w:before="240" w:after="60"/>
      <w:outlineLvl w:val="1"/>
    </w:pPr>
    <w:rPr>
      <w:rFonts w:ascii="Cambria" w:eastAsia="Times New Roman" w:hAnsi="Cambria"/>
      <w:b/>
      <w:bCs/>
      <w:i/>
      <w:iCs/>
      <w:color w:val="548DD4"/>
      <w:sz w:val="28"/>
      <w:szCs w:val="28"/>
    </w:rPr>
  </w:style>
  <w:style w:type="paragraph" w:styleId="Heading3">
    <w:name w:val="heading 3"/>
    <w:basedOn w:val="Normal"/>
    <w:next w:val="Normal"/>
    <w:link w:val="Heading3Char"/>
    <w:uiPriority w:val="9"/>
    <w:unhideWhenUsed/>
    <w:qFormat/>
    <w:rsid w:val="00E73058"/>
    <w:pPr>
      <w:keepNext/>
      <w:spacing w:before="240" w:after="60"/>
      <w:outlineLvl w:val="2"/>
    </w:pPr>
    <w:rPr>
      <w:rFonts w:ascii="Cambria" w:eastAsia="Times New Roman" w:hAnsi="Cambria"/>
      <w:b/>
      <w:bCs/>
      <w:color w:val="548DD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C2582"/>
    <w:rPr>
      <w:sz w:val="20"/>
      <w:szCs w:val="20"/>
    </w:rPr>
  </w:style>
  <w:style w:type="character" w:customStyle="1" w:styleId="FootnoteTextChar">
    <w:name w:val="Footnote Text Char"/>
    <w:link w:val="FootnoteText"/>
    <w:uiPriority w:val="99"/>
    <w:rsid w:val="00BC2582"/>
    <w:rPr>
      <w:sz w:val="20"/>
      <w:szCs w:val="20"/>
    </w:rPr>
  </w:style>
  <w:style w:type="character" w:styleId="FootnoteReference">
    <w:name w:val="footnote reference"/>
    <w:uiPriority w:val="99"/>
    <w:unhideWhenUsed/>
    <w:rsid w:val="001473AB"/>
    <w:rPr>
      <w:strike w:val="0"/>
      <w:dstrike w:val="0"/>
      <w:vertAlign w:val="superscript"/>
    </w:rPr>
  </w:style>
  <w:style w:type="character" w:styleId="Hyperlink">
    <w:name w:val="Hyperlink"/>
    <w:uiPriority w:val="99"/>
    <w:unhideWhenUsed/>
    <w:rsid w:val="0000665B"/>
    <w:rPr>
      <w:color w:val="0000FF"/>
      <w:u w:val="single"/>
    </w:rPr>
  </w:style>
  <w:style w:type="character" w:customStyle="1" w:styleId="Heading1Char">
    <w:name w:val="Heading 1 Char"/>
    <w:link w:val="Heading1"/>
    <w:uiPriority w:val="9"/>
    <w:rsid w:val="00D91224"/>
    <w:rPr>
      <w:rFonts w:ascii="Cambria" w:eastAsia="Times New Roman" w:hAnsi="Cambria" w:cs="Times New Roman"/>
      <w:b/>
      <w:bCs/>
      <w:color w:val="548DD4"/>
      <w:kern w:val="32"/>
      <w:sz w:val="32"/>
      <w:szCs w:val="32"/>
    </w:rPr>
  </w:style>
  <w:style w:type="character" w:customStyle="1" w:styleId="Heading2Char">
    <w:name w:val="Heading 2 Char"/>
    <w:link w:val="Heading2"/>
    <w:uiPriority w:val="9"/>
    <w:rsid w:val="000146E9"/>
    <w:rPr>
      <w:rFonts w:ascii="Cambria" w:eastAsia="Times New Roman" w:hAnsi="Cambria"/>
      <w:b/>
      <w:bCs/>
      <w:i/>
      <w:iCs/>
      <w:color w:val="548DD4"/>
      <w:sz w:val="28"/>
      <w:szCs w:val="28"/>
    </w:rPr>
  </w:style>
  <w:style w:type="character" w:customStyle="1" w:styleId="Heading3Char">
    <w:name w:val="Heading 3 Char"/>
    <w:link w:val="Heading3"/>
    <w:uiPriority w:val="9"/>
    <w:rsid w:val="00E73058"/>
    <w:rPr>
      <w:rFonts w:ascii="Cambria" w:eastAsia="Times New Roman" w:hAnsi="Cambria" w:cs="Times New Roman"/>
      <w:b/>
      <w:bCs/>
      <w:color w:val="548DD4"/>
      <w:sz w:val="26"/>
      <w:szCs w:val="26"/>
    </w:rPr>
  </w:style>
  <w:style w:type="character" w:styleId="FollowedHyperlink">
    <w:name w:val="FollowedHyperlink"/>
    <w:uiPriority w:val="99"/>
    <w:semiHidden/>
    <w:unhideWhenUsed/>
    <w:rsid w:val="005F3DB3"/>
    <w:rPr>
      <w:color w:val="800080"/>
      <w:u w:val="single"/>
    </w:rPr>
  </w:style>
  <w:style w:type="paragraph" w:styleId="TOCHeading">
    <w:name w:val="TOC Heading"/>
    <w:basedOn w:val="Heading1"/>
    <w:next w:val="Normal"/>
    <w:uiPriority w:val="39"/>
    <w:semiHidden/>
    <w:unhideWhenUsed/>
    <w:qFormat/>
    <w:rsid w:val="001A1158"/>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B075A4"/>
    <w:pPr>
      <w:tabs>
        <w:tab w:val="right" w:leader="dot" w:pos="9350"/>
      </w:tabs>
      <w:spacing w:after="0" w:line="240" w:lineRule="auto"/>
    </w:pPr>
  </w:style>
  <w:style w:type="paragraph" w:styleId="TOC2">
    <w:name w:val="toc 2"/>
    <w:basedOn w:val="Normal"/>
    <w:next w:val="Normal"/>
    <w:autoRedefine/>
    <w:uiPriority w:val="39"/>
    <w:unhideWhenUsed/>
    <w:rsid w:val="001A1158"/>
    <w:pPr>
      <w:ind w:left="220"/>
    </w:pPr>
  </w:style>
  <w:style w:type="paragraph" w:styleId="TOC3">
    <w:name w:val="toc 3"/>
    <w:basedOn w:val="Normal"/>
    <w:next w:val="Normal"/>
    <w:autoRedefine/>
    <w:uiPriority w:val="39"/>
    <w:unhideWhenUsed/>
    <w:rsid w:val="001A1158"/>
    <w:pPr>
      <w:ind w:left="440"/>
    </w:pPr>
  </w:style>
  <w:style w:type="paragraph" w:styleId="BalloonText">
    <w:name w:val="Balloon Text"/>
    <w:basedOn w:val="Normal"/>
    <w:link w:val="BalloonTextChar"/>
    <w:uiPriority w:val="99"/>
    <w:semiHidden/>
    <w:unhideWhenUsed/>
    <w:rsid w:val="00DC4D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C4DFD"/>
    <w:rPr>
      <w:rFonts w:ascii="Tahoma" w:hAnsi="Tahoma" w:cs="Tahoma"/>
      <w:sz w:val="16"/>
      <w:szCs w:val="16"/>
    </w:rPr>
  </w:style>
  <w:style w:type="paragraph" w:styleId="Header">
    <w:name w:val="header"/>
    <w:basedOn w:val="Normal"/>
    <w:link w:val="HeaderChar"/>
    <w:uiPriority w:val="99"/>
    <w:unhideWhenUsed/>
    <w:rsid w:val="00E77C40"/>
    <w:pPr>
      <w:tabs>
        <w:tab w:val="center" w:pos="4680"/>
        <w:tab w:val="right" w:pos="9360"/>
      </w:tabs>
    </w:pPr>
  </w:style>
  <w:style w:type="character" w:customStyle="1" w:styleId="HeaderChar">
    <w:name w:val="Header Char"/>
    <w:link w:val="Header"/>
    <w:uiPriority w:val="99"/>
    <w:rsid w:val="00E77C40"/>
    <w:rPr>
      <w:sz w:val="22"/>
      <w:szCs w:val="22"/>
    </w:rPr>
  </w:style>
  <w:style w:type="paragraph" w:styleId="Footer">
    <w:name w:val="footer"/>
    <w:basedOn w:val="Normal"/>
    <w:link w:val="FooterChar"/>
    <w:uiPriority w:val="99"/>
    <w:unhideWhenUsed/>
    <w:rsid w:val="00E77C40"/>
    <w:pPr>
      <w:tabs>
        <w:tab w:val="center" w:pos="4680"/>
        <w:tab w:val="right" w:pos="9360"/>
      </w:tabs>
    </w:pPr>
  </w:style>
  <w:style w:type="character" w:customStyle="1" w:styleId="FooterChar">
    <w:name w:val="Footer Char"/>
    <w:link w:val="Footer"/>
    <w:uiPriority w:val="99"/>
    <w:rsid w:val="00E77C40"/>
    <w:rPr>
      <w:sz w:val="22"/>
      <w:szCs w:val="22"/>
    </w:rPr>
  </w:style>
  <w:style w:type="paragraph" w:styleId="EndnoteText">
    <w:name w:val="endnote text"/>
    <w:basedOn w:val="Normal"/>
    <w:link w:val="EndnoteTextChar"/>
    <w:uiPriority w:val="99"/>
    <w:semiHidden/>
    <w:unhideWhenUsed/>
    <w:rsid w:val="00980F63"/>
    <w:rPr>
      <w:sz w:val="20"/>
      <w:szCs w:val="20"/>
    </w:rPr>
  </w:style>
  <w:style w:type="character" w:customStyle="1" w:styleId="EndnoteTextChar">
    <w:name w:val="Endnote Text Char"/>
    <w:basedOn w:val="DefaultParagraphFont"/>
    <w:link w:val="EndnoteText"/>
    <w:uiPriority w:val="99"/>
    <w:semiHidden/>
    <w:rsid w:val="00980F63"/>
  </w:style>
  <w:style w:type="character" w:styleId="EndnoteReference">
    <w:name w:val="endnote reference"/>
    <w:uiPriority w:val="99"/>
    <w:semiHidden/>
    <w:unhideWhenUsed/>
    <w:rsid w:val="00980F63"/>
    <w:rPr>
      <w:vertAlign w:val="superscript"/>
    </w:rPr>
  </w:style>
  <w:style w:type="paragraph" w:styleId="BodyText">
    <w:name w:val="Body Text"/>
    <w:basedOn w:val="Normal"/>
    <w:link w:val="BodyTextChar"/>
    <w:rsid w:val="00DC2B73"/>
    <w:pPr>
      <w:spacing w:after="0" w:line="240" w:lineRule="auto"/>
      <w:jc w:val="center"/>
    </w:pPr>
    <w:rPr>
      <w:rFonts w:ascii="Arial" w:eastAsia="Times New Roman" w:hAnsi="Arial"/>
      <w:b/>
      <w:bCs/>
      <w:sz w:val="48"/>
      <w:lang w:eastAsia="en-US"/>
    </w:rPr>
  </w:style>
  <w:style w:type="character" w:customStyle="1" w:styleId="BodyTextChar">
    <w:name w:val="Body Text Char"/>
    <w:link w:val="BodyText"/>
    <w:rsid w:val="00DC2B73"/>
    <w:rPr>
      <w:rFonts w:ascii="Arial" w:eastAsia="Times New Roman" w:hAnsi="Arial"/>
      <w:b/>
      <w:bCs/>
      <w:sz w:val="48"/>
      <w:szCs w:val="24"/>
      <w:lang w:eastAsia="en-US"/>
    </w:rPr>
  </w:style>
  <w:style w:type="paragraph" w:styleId="BodyText3">
    <w:name w:val="Body Text 3"/>
    <w:basedOn w:val="Normal"/>
    <w:link w:val="BodyText3Char"/>
    <w:semiHidden/>
    <w:rsid w:val="00DC2B73"/>
    <w:pPr>
      <w:spacing w:after="0" w:line="240" w:lineRule="auto"/>
    </w:pPr>
    <w:rPr>
      <w:rFonts w:ascii="Arial" w:eastAsia="Times New Roman" w:hAnsi="Arial"/>
      <w:sz w:val="22"/>
      <w:lang w:eastAsia="en-US"/>
    </w:rPr>
  </w:style>
  <w:style w:type="character" w:customStyle="1" w:styleId="BodyText3Char">
    <w:name w:val="Body Text 3 Char"/>
    <w:link w:val="BodyText3"/>
    <w:semiHidden/>
    <w:rsid w:val="00DC2B73"/>
    <w:rPr>
      <w:rFonts w:ascii="Arial" w:eastAsia="Times New Roman"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79969">
      <w:bodyDiv w:val="1"/>
      <w:marLeft w:val="0"/>
      <w:marRight w:val="0"/>
      <w:marTop w:val="0"/>
      <w:marBottom w:val="0"/>
      <w:divBdr>
        <w:top w:val="none" w:sz="0" w:space="0" w:color="auto"/>
        <w:left w:val="none" w:sz="0" w:space="0" w:color="auto"/>
        <w:bottom w:val="none" w:sz="0" w:space="0" w:color="auto"/>
        <w:right w:val="none" w:sz="0" w:space="0" w:color="auto"/>
      </w:divBdr>
    </w:div>
    <w:div w:id="150756231">
      <w:bodyDiv w:val="1"/>
      <w:marLeft w:val="0"/>
      <w:marRight w:val="0"/>
      <w:marTop w:val="0"/>
      <w:marBottom w:val="0"/>
      <w:divBdr>
        <w:top w:val="none" w:sz="0" w:space="0" w:color="auto"/>
        <w:left w:val="none" w:sz="0" w:space="0" w:color="auto"/>
        <w:bottom w:val="none" w:sz="0" w:space="0" w:color="auto"/>
        <w:right w:val="none" w:sz="0" w:space="0" w:color="auto"/>
      </w:divBdr>
    </w:div>
    <w:div w:id="174274530">
      <w:bodyDiv w:val="1"/>
      <w:marLeft w:val="0"/>
      <w:marRight w:val="0"/>
      <w:marTop w:val="0"/>
      <w:marBottom w:val="0"/>
      <w:divBdr>
        <w:top w:val="none" w:sz="0" w:space="0" w:color="auto"/>
        <w:left w:val="none" w:sz="0" w:space="0" w:color="auto"/>
        <w:bottom w:val="none" w:sz="0" w:space="0" w:color="auto"/>
        <w:right w:val="none" w:sz="0" w:space="0" w:color="auto"/>
      </w:divBdr>
    </w:div>
    <w:div w:id="498154219">
      <w:bodyDiv w:val="1"/>
      <w:marLeft w:val="0"/>
      <w:marRight w:val="0"/>
      <w:marTop w:val="0"/>
      <w:marBottom w:val="0"/>
      <w:divBdr>
        <w:top w:val="none" w:sz="0" w:space="0" w:color="auto"/>
        <w:left w:val="none" w:sz="0" w:space="0" w:color="auto"/>
        <w:bottom w:val="none" w:sz="0" w:space="0" w:color="auto"/>
        <w:right w:val="none" w:sz="0" w:space="0" w:color="auto"/>
      </w:divBdr>
    </w:div>
    <w:div w:id="970405816">
      <w:bodyDiv w:val="1"/>
      <w:marLeft w:val="0"/>
      <w:marRight w:val="0"/>
      <w:marTop w:val="0"/>
      <w:marBottom w:val="0"/>
      <w:divBdr>
        <w:top w:val="none" w:sz="0" w:space="0" w:color="auto"/>
        <w:left w:val="none" w:sz="0" w:space="0" w:color="auto"/>
        <w:bottom w:val="none" w:sz="0" w:space="0" w:color="auto"/>
        <w:right w:val="none" w:sz="0" w:space="0" w:color="auto"/>
      </w:divBdr>
    </w:div>
    <w:div w:id="1017848262">
      <w:bodyDiv w:val="1"/>
      <w:marLeft w:val="0"/>
      <w:marRight w:val="0"/>
      <w:marTop w:val="0"/>
      <w:marBottom w:val="0"/>
      <w:divBdr>
        <w:top w:val="none" w:sz="0" w:space="0" w:color="auto"/>
        <w:left w:val="none" w:sz="0" w:space="0" w:color="auto"/>
        <w:bottom w:val="none" w:sz="0" w:space="0" w:color="auto"/>
        <w:right w:val="none" w:sz="0" w:space="0" w:color="auto"/>
      </w:divBdr>
    </w:div>
    <w:div w:id="1027023246">
      <w:bodyDiv w:val="1"/>
      <w:marLeft w:val="0"/>
      <w:marRight w:val="0"/>
      <w:marTop w:val="0"/>
      <w:marBottom w:val="0"/>
      <w:divBdr>
        <w:top w:val="none" w:sz="0" w:space="0" w:color="auto"/>
        <w:left w:val="none" w:sz="0" w:space="0" w:color="auto"/>
        <w:bottom w:val="none" w:sz="0" w:space="0" w:color="auto"/>
        <w:right w:val="none" w:sz="0" w:space="0" w:color="auto"/>
      </w:divBdr>
    </w:div>
    <w:div w:id="1116678685">
      <w:bodyDiv w:val="1"/>
      <w:marLeft w:val="0"/>
      <w:marRight w:val="0"/>
      <w:marTop w:val="0"/>
      <w:marBottom w:val="0"/>
      <w:divBdr>
        <w:top w:val="none" w:sz="0" w:space="0" w:color="auto"/>
        <w:left w:val="none" w:sz="0" w:space="0" w:color="auto"/>
        <w:bottom w:val="none" w:sz="0" w:space="0" w:color="auto"/>
        <w:right w:val="none" w:sz="0" w:space="0" w:color="auto"/>
      </w:divBdr>
    </w:div>
    <w:div w:id="1341004959">
      <w:bodyDiv w:val="1"/>
      <w:marLeft w:val="0"/>
      <w:marRight w:val="0"/>
      <w:marTop w:val="0"/>
      <w:marBottom w:val="0"/>
      <w:divBdr>
        <w:top w:val="none" w:sz="0" w:space="0" w:color="auto"/>
        <w:left w:val="none" w:sz="0" w:space="0" w:color="auto"/>
        <w:bottom w:val="none" w:sz="0" w:space="0" w:color="auto"/>
        <w:right w:val="none" w:sz="0" w:space="0" w:color="auto"/>
      </w:divBdr>
    </w:div>
    <w:div w:id="1363019787">
      <w:bodyDiv w:val="1"/>
      <w:marLeft w:val="0"/>
      <w:marRight w:val="0"/>
      <w:marTop w:val="0"/>
      <w:marBottom w:val="0"/>
      <w:divBdr>
        <w:top w:val="none" w:sz="0" w:space="0" w:color="auto"/>
        <w:left w:val="none" w:sz="0" w:space="0" w:color="auto"/>
        <w:bottom w:val="none" w:sz="0" w:space="0" w:color="auto"/>
        <w:right w:val="none" w:sz="0" w:space="0" w:color="auto"/>
      </w:divBdr>
    </w:div>
    <w:div w:id="1434130617">
      <w:bodyDiv w:val="1"/>
      <w:marLeft w:val="0"/>
      <w:marRight w:val="0"/>
      <w:marTop w:val="0"/>
      <w:marBottom w:val="0"/>
      <w:divBdr>
        <w:top w:val="none" w:sz="0" w:space="0" w:color="auto"/>
        <w:left w:val="none" w:sz="0" w:space="0" w:color="auto"/>
        <w:bottom w:val="none" w:sz="0" w:space="0" w:color="auto"/>
        <w:right w:val="none" w:sz="0" w:space="0" w:color="auto"/>
      </w:divBdr>
    </w:div>
    <w:div w:id="1649092813">
      <w:bodyDiv w:val="1"/>
      <w:marLeft w:val="0"/>
      <w:marRight w:val="0"/>
      <w:marTop w:val="0"/>
      <w:marBottom w:val="0"/>
      <w:divBdr>
        <w:top w:val="none" w:sz="0" w:space="0" w:color="auto"/>
        <w:left w:val="none" w:sz="0" w:space="0" w:color="auto"/>
        <w:bottom w:val="none" w:sz="0" w:space="0" w:color="auto"/>
        <w:right w:val="none" w:sz="0" w:space="0" w:color="auto"/>
      </w:divBdr>
    </w:div>
    <w:div w:id="1910993458">
      <w:bodyDiv w:val="1"/>
      <w:marLeft w:val="0"/>
      <w:marRight w:val="0"/>
      <w:marTop w:val="0"/>
      <w:marBottom w:val="0"/>
      <w:divBdr>
        <w:top w:val="none" w:sz="0" w:space="0" w:color="auto"/>
        <w:left w:val="none" w:sz="0" w:space="0" w:color="auto"/>
        <w:bottom w:val="none" w:sz="0" w:space="0" w:color="auto"/>
        <w:right w:val="none" w:sz="0" w:space="0" w:color="auto"/>
      </w:divBdr>
    </w:div>
    <w:div w:id="1931500812">
      <w:bodyDiv w:val="1"/>
      <w:marLeft w:val="0"/>
      <w:marRight w:val="0"/>
      <w:marTop w:val="0"/>
      <w:marBottom w:val="0"/>
      <w:divBdr>
        <w:top w:val="none" w:sz="0" w:space="0" w:color="auto"/>
        <w:left w:val="none" w:sz="0" w:space="0" w:color="auto"/>
        <w:bottom w:val="none" w:sz="0" w:space="0" w:color="auto"/>
        <w:right w:val="none" w:sz="0" w:space="0" w:color="auto"/>
      </w:divBdr>
    </w:div>
    <w:div w:id="209744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3.xls"/><Relationship Id="rId21" Type="http://schemas.openxmlformats.org/officeDocument/2006/relationships/image" Target="media/image3.emf"/><Relationship Id="rId42" Type="http://schemas.openxmlformats.org/officeDocument/2006/relationships/image" Target="media/image10.png"/><Relationship Id="rId47" Type="http://schemas.openxmlformats.org/officeDocument/2006/relationships/oleObject" Target="embeddings/Microsoft_Excel_97-2003_Worksheet10.xls"/><Relationship Id="rId63" Type="http://schemas.openxmlformats.org/officeDocument/2006/relationships/hyperlink" Target="http://www.eia.gov.bc.ca/publicat/VOL1/pdf/3-4pol.pdf" TargetMode="External"/><Relationship Id="rId68" Type="http://schemas.openxmlformats.org/officeDocument/2006/relationships/hyperlink" Target="http://www.mcss.gov.on.ca/documents/en/mcss/social/reports/OW_EN_2013-03.pdf" TargetMode="External"/><Relationship Id="rId16" Type="http://schemas.openxmlformats.org/officeDocument/2006/relationships/hyperlink" Target="http://www.ccdonline.ca/en/socialpolicy/poverty-citizenship" TargetMode="External"/><Relationship Id="rId11" Type="http://schemas.openxmlformats.org/officeDocument/2006/relationships/header" Target="header1.xml"/><Relationship Id="rId24" Type="http://schemas.openxmlformats.org/officeDocument/2006/relationships/oleObject" Target="embeddings/Microsoft_Excel_97-2003_Worksheet2.xls"/><Relationship Id="rId32" Type="http://schemas.openxmlformats.org/officeDocument/2006/relationships/header" Target="header6.xml"/><Relationship Id="rId37" Type="http://schemas.openxmlformats.org/officeDocument/2006/relationships/oleObject" Target="embeddings/Microsoft_Excel_97-2003_Worksheet5.xls"/><Relationship Id="rId40" Type="http://schemas.openxmlformats.org/officeDocument/2006/relationships/image" Target="media/image9.png"/><Relationship Id="rId45" Type="http://schemas.openxmlformats.org/officeDocument/2006/relationships/oleObject" Target="embeddings/Microsoft_Excel_97-2003_Worksheet9.xls"/><Relationship Id="rId53" Type="http://schemas.openxmlformats.org/officeDocument/2006/relationships/oleObject" Target="embeddings/Microsoft_Excel_97-2003_Worksheet13.xls"/><Relationship Id="rId58" Type="http://schemas.openxmlformats.org/officeDocument/2006/relationships/image" Target="media/image17.png"/><Relationship Id="rId66" Type="http://schemas.openxmlformats.org/officeDocument/2006/relationships/hyperlink" Target="http://www.ccdonline.ca/en/socialpolicy/poverty-citizenship/demographic-profile/understanding-poverty-exclusion" TargetMode="External"/><Relationship Id="rId74" Type="http://schemas.openxmlformats.org/officeDocument/2006/relationships/hyperlink" Target="http://www23.statcan.gc.ca/imdb/p2SV.pl?Function=getSurvey&amp;SDDS=3889&amp;Item_Id=1370&amp;lang=en" TargetMode="Externa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hyperlink" Target="http://www.ccdonline.ca" TargetMode="External"/><Relationship Id="rId14" Type="http://schemas.openxmlformats.org/officeDocument/2006/relationships/footer" Target="footer2.xml"/><Relationship Id="rId22" Type="http://schemas.openxmlformats.org/officeDocument/2006/relationships/oleObject" Target="embeddings/Microsoft_Excel_97-2003_Worksheet1.xls"/><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oleObject" Target="embeddings/Microsoft_Excel_97-2003_Worksheet4.xls"/><Relationship Id="rId43" Type="http://schemas.openxmlformats.org/officeDocument/2006/relationships/oleObject" Target="embeddings/Microsoft_Excel_97-2003_Worksheet8.xls"/><Relationship Id="rId48" Type="http://schemas.openxmlformats.org/officeDocument/2006/relationships/image" Target="media/image13.png"/><Relationship Id="rId56" Type="http://schemas.openxmlformats.org/officeDocument/2006/relationships/header" Target="header7.xml"/><Relationship Id="rId64" Type="http://schemas.openxmlformats.org/officeDocument/2006/relationships/hyperlink" Target="http://www.cra-arc.gc.ca/bnfts/wtb/fq_qlfyng-eng.html" TargetMode="External"/><Relationship Id="rId69" Type="http://schemas.openxmlformats.org/officeDocument/2006/relationships/hyperlink" Target="http://www.rrq.gouv.qc.ca/en/programmes/regime_rentes/prestations_invalidite/Pages/admissibilite_ri.aspx"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Microsoft_Excel_97-2003_Worksheet12.xls"/><Relationship Id="rId72" Type="http://schemas.openxmlformats.org/officeDocument/2006/relationships/hyperlink" Target="http://www.servicecanada.gc.ca/eng/isp/pub/factsheets/cppretirement/when.s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7.xm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oleObject" Target="embeddings/Microsoft_Excel_97-2003_Worksheet15.xls"/><Relationship Id="rId67" Type="http://schemas.openxmlformats.org/officeDocument/2006/relationships/hyperlink" Target="http://dsq-sds.org/article/view/932" TargetMode="External"/><Relationship Id="rId20" Type="http://schemas.openxmlformats.org/officeDocument/2006/relationships/hyperlink" Target="http://www.ccdonline.ca/en/socialpolicy/poverty-citizenship" TargetMode="External"/><Relationship Id="rId41" Type="http://schemas.openxmlformats.org/officeDocument/2006/relationships/oleObject" Target="embeddings/Microsoft_Excel_97-2003_Worksheet7.xls"/><Relationship Id="rId54" Type="http://schemas.openxmlformats.org/officeDocument/2006/relationships/image" Target="media/image16.png"/><Relationship Id="rId62" Type="http://schemas.openxmlformats.org/officeDocument/2006/relationships/hyperlink" Target="http://humanservices.alberta.ca/disability-services/aish-announcements.html" TargetMode="External"/><Relationship Id="rId70" Type="http://schemas.openxmlformats.org/officeDocument/2006/relationships/hyperlink" Target="http://www.servicecanada.gc.ca/eng/isp/cpp/summary.shtml" TargetMode="External"/><Relationship Id="rId75" Type="http://schemas.openxmlformats.org/officeDocument/2006/relationships/hyperlink" Target="http://www.statcan.gc.ca/dli-ild/guide-trousse/guide-trousse/toc-tdm/3000276-eng.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cdonline.ca" TargetMode="External"/><Relationship Id="rId23" Type="http://schemas.openxmlformats.org/officeDocument/2006/relationships/image" Target="media/image4.emf"/><Relationship Id="rId28" Type="http://schemas.openxmlformats.org/officeDocument/2006/relationships/footer" Target="footer4.xml"/><Relationship Id="rId36" Type="http://schemas.openxmlformats.org/officeDocument/2006/relationships/image" Target="media/image7.emf"/><Relationship Id="rId49" Type="http://schemas.openxmlformats.org/officeDocument/2006/relationships/oleObject" Target="embeddings/Microsoft_Excel_97-2003_Worksheet11.xls"/><Relationship Id="rId57"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8.xml"/><Relationship Id="rId65" Type="http://schemas.openxmlformats.org/officeDocument/2006/relationships/hyperlink" Target="http://www.cra-arc.gc.ca/bnfts/wtb/fq_pymnts-eng.html" TargetMode="External"/><Relationship Id="rId73" Type="http://schemas.openxmlformats.org/officeDocument/2006/relationships/hyperlink" Target="http://www.statcan.gc.ca/pub/75f0002m/2009002/s2-eng.htm"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oleObject" Target="embeddings/Microsoft_Excel_97-2003_Worksheet6.xls"/><Relationship Id="rId34" Type="http://schemas.openxmlformats.org/officeDocument/2006/relationships/image" Target="media/image6.emf"/><Relationship Id="rId50" Type="http://schemas.openxmlformats.org/officeDocument/2006/relationships/image" Target="media/image14.png"/><Relationship Id="rId55" Type="http://schemas.openxmlformats.org/officeDocument/2006/relationships/oleObject" Target="embeddings/Microsoft_Excel_97-2003_Worksheet14.xls"/><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ervicecanada.gc.ca/eng/isp/cpp/severe.shtml" TargetMode="External"/><Relationship Id="rId2" Type="http://schemas.openxmlformats.org/officeDocument/2006/relationships/numbering" Target="numbering.xml"/><Relationship Id="rId2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6D4D-DCD9-4C20-978C-DB542CC5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87</Pages>
  <Words>24890</Words>
  <Characters>141873</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 Crawford</dc:creator>
  <cp:lastModifiedBy>Cameron Crawford</cp:lastModifiedBy>
  <cp:revision>4</cp:revision>
  <cp:lastPrinted>2013-07-11T22:24:00Z</cp:lastPrinted>
  <dcterms:created xsi:type="dcterms:W3CDTF">2013-10-31T19:49:00Z</dcterms:created>
  <dcterms:modified xsi:type="dcterms:W3CDTF">2013-10-31T20:02:00Z</dcterms:modified>
</cp:coreProperties>
</file>